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F4C82"/>
          <w:sz w:val="38"/>
        </w:rPr>
        <w:t>INFORME EJECUTIVO · PROYECTO ORION</w:t>
      </w:r>
    </w:p>
    <w:p>
      <w:pPr>
        <w:jc w:val="center"/>
      </w:pPr>
      <w:r>
        <w:rPr>
          <w:b/>
          <w:sz w:val="25"/>
        </w:rPr>
        <w:t>Evaluación de piloto y propuesta de siguiente fase</w:t>
      </w:r>
    </w:p>
    <w:p>
      <w:pPr>
        <w:jc w:val="center"/>
      </w:pPr>
      <w:r>
        <w:rPr>
          <w:i/>
          <w:sz w:val="18"/>
        </w:rPr>
        <w:t>Documento ficticio para ejercicio formativo · Septiembre 2026</w:t>
      </w:r>
    </w:p>
    <w:tbl>
      <w:tblPr>
        <w:tblStyle w:val="TableGrid"/>
        <w:tblW w:type="auto" w:w="0"/>
        <w:jc w:val="center"/>
        <w:tblLook w:firstColumn="1" w:firstRow="1" w:lastColumn="0" w:lastRow="0" w:noHBand="0" w:noVBand="1" w:val="04A0"/>
      </w:tblPr>
      <w:tblGrid>
        <w:gridCol w:w="10200"/>
      </w:tblGrid>
      <w:tr>
        <w:tc>
          <w:tcPr>
            <w:tcW w:type="dxa" w:w="10200"/>
            <w:shd w:fill="F4F7FA"/>
            <w:tcMar>
              <w:top w:w="130" w:type="dxa"/>
              <w:start w:w="150" w:type="dxa"/>
              <w:bottom w:w="130" w:type="dxa"/>
              <w:end w:w="150" w:type="dxa"/>
            </w:tcMar>
          </w:tcPr>
          <w:p>
            <w:r>
              <w:rPr>
                <w:b/>
                <w:color w:val="153755"/>
              </w:rPr>
              <w:t>Objetivo del proyecto</w:t>
            </w:r>
          </w:p>
          <w:p>
            <w:pPr>
              <w:spacing w:after="0"/>
            </w:pPr>
            <w:r>
              <w:t>ORION es una iniciativa interna para mejorar la atención al cliente mediante un nuevo modelo de clasificación y priorización de solicitudes, una base de conocimiento común y un cuadro de seguimiento para los equipos de atención y operaciones. Entre junio y agosto de 2026 se ha realizado un piloto en dos unidades de negocio. El comité de dirección debe decidir si aprueba una segunda fase de despliegue.</w:t>
            </w:r>
          </w:p>
        </w:tc>
      </w:tr>
    </w:tbl>
    <w:p>
      <w:pPr>
        <w:spacing w:before="160" w:after="80"/>
      </w:pPr>
      <w:r>
        <w:rPr>
          <w:b/>
          <w:color w:val="0F4C82"/>
          <w:sz w:val="26"/>
        </w:rPr>
        <w:t>1. Alcance del piloto</w:t>
      </w:r>
    </w:p>
    <w:p>
      <w:r>
        <w:t>El piloto se desarrolló entre el 3 de junio y el 31 de agosto de 2026 en las unidades Norte y Centro. Participaron 34 profesionales de atención al cliente y 6 supervisores. Durante el periodo se gestionaron 4.860 solicitudes de clientes a través del nuevo modelo.</w:t>
      </w:r>
    </w:p>
    <w:p>
      <w:pPr>
        <w:pStyle w:val="ListBullet"/>
        <w:spacing w:after="40"/>
      </w:pPr>
      <w:r>
        <w:t>Clasificación inicial de solicitudes por tipología y urgencia.</w:t>
      </w:r>
    </w:p>
    <w:p>
      <w:pPr>
        <w:pStyle w:val="ListBullet"/>
        <w:spacing w:after="40"/>
      </w:pPr>
      <w:r>
        <w:t>Priorización de casos según criterios definidos por Operaciones.</w:t>
      </w:r>
    </w:p>
    <w:p>
      <w:pPr>
        <w:pStyle w:val="ListBullet"/>
        <w:spacing w:after="40"/>
      </w:pPr>
      <w:r>
        <w:t>Uso de una base de conocimiento común para respuestas y procedimientos.</w:t>
      </w:r>
    </w:p>
    <w:p>
      <w:pPr>
        <w:pStyle w:val="ListBullet"/>
        <w:spacing w:after="40"/>
      </w:pPr>
      <w:r>
        <w:t>Panel de seguimiento con volumen, tiempos de respuesta, reaperturas y casos pendientes.</w:t>
      </w:r>
    </w:p>
    <w:p>
      <w:pPr>
        <w:pStyle w:val="ListBullet"/>
        <w:spacing w:after="40"/>
      </w:pPr>
      <w:r>
        <w:t>Revisión semanal del piloto por Atención al Cliente, Operaciones y Sistemas.</w:t>
      </w:r>
    </w:p>
    <w:p>
      <w:pPr>
        <w:spacing w:before="160" w:after="80"/>
      </w:pPr>
      <w:r>
        <w:rPr>
          <w:b/>
          <w:color w:val="0F4C82"/>
          <w:sz w:val="26"/>
        </w:rPr>
        <w:t>2. Indicadores principales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fill="E5EFF6"/>
            <w:tcMar>
              <w:top w:w="70" w:type="dxa"/>
              <w:start w:w="90" w:type="dxa"/>
              <w:bottom w:w="70" w:type="dxa"/>
              <w:end w:w="90" w:type="dxa"/>
            </w:tcMar>
            <w:vAlign w:val="center"/>
          </w:tcPr>
          <w:p>
            <w:r>
              <w:rPr>
                <w:b/>
                <w:sz w:val="18"/>
              </w:rPr>
              <w:t>Indicador</w:t>
            </w:r>
          </w:p>
        </w:tc>
        <w:tc>
          <w:tcPr>
            <w:tcW w:type="dxa" w:w="2550"/>
            <w:shd w:fill="E5EFF6"/>
            <w:tcMar>
              <w:top w:w="70" w:type="dxa"/>
              <w:start w:w="90" w:type="dxa"/>
              <w:bottom w:w="70" w:type="dxa"/>
              <w:end w:w="90" w:type="dxa"/>
            </w:tcMar>
            <w:vAlign w:val="center"/>
          </w:tcPr>
          <w:p>
            <w:r>
              <w:rPr>
                <w:b/>
                <w:sz w:val="18"/>
              </w:rPr>
              <w:t>Antes del piloto</w:t>
            </w:r>
          </w:p>
        </w:tc>
        <w:tc>
          <w:tcPr>
            <w:tcW w:type="dxa" w:w="2550"/>
            <w:shd w:fill="E5EFF6"/>
            <w:tcMar>
              <w:top w:w="70" w:type="dxa"/>
              <w:start w:w="90" w:type="dxa"/>
              <w:bottom w:w="70" w:type="dxa"/>
              <w:end w:w="90" w:type="dxa"/>
            </w:tcMar>
            <w:vAlign w:val="center"/>
          </w:tcPr>
          <w:p>
            <w:r>
              <w:rPr>
                <w:b/>
                <w:sz w:val="18"/>
              </w:rPr>
              <w:t>Durante el piloto</w:t>
            </w:r>
          </w:p>
        </w:tc>
        <w:tc>
          <w:tcPr>
            <w:tcW w:type="dxa" w:w="2550"/>
            <w:shd w:fill="E5EFF6"/>
            <w:tcMar>
              <w:top w:w="70" w:type="dxa"/>
              <w:start w:w="90" w:type="dxa"/>
              <w:bottom w:w="70" w:type="dxa"/>
              <w:end w:w="90" w:type="dxa"/>
            </w:tcMar>
            <w:vAlign w:val="center"/>
          </w:tcPr>
          <w:p>
            <w:r>
              <w:rPr>
                <w:b/>
                <w:sz w:val="18"/>
              </w:rPr>
              <w:t>Variación observada</w:t>
            </w:r>
          </w:p>
        </w:tc>
      </w:tr>
      <w:tr>
        <w:tc>
          <w:tcPr>
            <w:tcW w:type="dxa" w:w="2550"/>
            <w:tcMar>
              <w:top w:w="70" w:type="dxa"/>
              <w:start w:w="90" w:type="dxa"/>
              <w:bottom w:w="70" w:type="dxa"/>
              <w:end w:w="90" w:type="dxa"/>
            </w:tcMar>
            <w:vAlign w:val="center"/>
          </w:tcPr>
          <w:p>
            <w:r>
              <w:rPr>
                <w:sz w:val="18"/>
              </w:rPr>
              <w:t>Tiempo medio de primera respuesta</w:t>
            </w:r>
          </w:p>
        </w:tc>
        <w:tc>
          <w:tcPr>
            <w:tcW w:type="dxa" w:w="2550"/>
            <w:tcMar>
              <w:top w:w="70" w:type="dxa"/>
              <w:start w:w="90" w:type="dxa"/>
              <w:bottom w:w="70" w:type="dxa"/>
              <w:end w:w="90" w:type="dxa"/>
            </w:tcMar>
            <w:vAlign w:val="center"/>
          </w:tcPr>
          <w:p>
            <w:r>
              <w:rPr>
                <w:sz w:val="18"/>
              </w:rPr>
              <w:t>5 h 18 min</w:t>
            </w:r>
          </w:p>
        </w:tc>
        <w:tc>
          <w:tcPr>
            <w:tcW w:type="dxa" w:w="2550"/>
            <w:tcMar>
              <w:top w:w="70" w:type="dxa"/>
              <w:start w:w="90" w:type="dxa"/>
              <w:bottom w:w="70" w:type="dxa"/>
              <w:end w:w="90" w:type="dxa"/>
            </w:tcMar>
            <w:vAlign w:val="center"/>
          </w:tcPr>
          <w:p>
            <w:r>
              <w:rPr>
                <w:sz w:val="18"/>
              </w:rPr>
              <w:t>3 h 42 min</w:t>
            </w:r>
          </w:p>
        </w:tc>
        <w:tc>
          <w:tcPr>
            <w:tcW w:type="dxa" w:w="2550"/>
            <w:tcMar>
              <w:top w:w="70" w:type="dxa"/>
              <w:start w:w="90" w:type="dxa"/>
              <w:bottom w:w="70" w:type="dxa"/>
              <w:end w:w="90" w:type="dxa"/>
            </w:tcMar>
            <w:vAlign w:val="center"/>
          </w:tcPr>
          <w:p>
            <w:r>
              <w:rPr>
                <w:sz w:val="18"/>
              </w:rPr>
              <w:t>- 1 h 36 min</w:t>
            </w:r>
          </w:p>
        </w:tc>
      </w:tr>
      <w:tr>
        <w:tc>
          <w:tcPr>
            <w:tcW w:type="dxa" w:w="2550"/>
            <w:tcMar>
              <w:top w:w="70" w:type="dxa"/>
              <w:start w:w="90" w:type="dxa"/>
              <w:bottom w:w="70" w:type="dxa"/>
              <w:end w:w="90" w:type="dxa"/>
            </w:tcMar>
            <w:vAlign w:val="center"/>
          </w:tcPr>
          <w:p>
            <w:r>
              <w:rPr>
                <w:sz w:val="18"/>
              </w:rPr>
              <w:t>Solicitudes resueltas en &lt; 24 h</w:t>
            </w:r>
          </w:p>
        </w:tc>
        <w:tc>
          <w:tcPr>
            <w:tcW w:type="dxa" w:w="2550"/>
            <w:tcMar>
              <w:top w:w="70" w:type="dxa"/>
              <w:start w:w="90" w:type="dxa"/>
              <w:bottom w:w="70" w:type="dxa"/>
              <w:end w:w="90" w:type="dxa"/>
            </w:tcMar>
            <w:vAlign w:val="center"/>
          </w:tcPr>
          <w:p>
            <w:r>
              <w:rPr>
                <w:sz w:val="18"/>
              </w:rPr>
              <w:t>62 %</w:t>
            </w:r>
          </w:p>
        </w:tc>
        <w:tc>
          <w:tcPr>
            <w:tcW w:type="dxa" w:w="2550"/>
            <w:tcMar>
              <w:top w:w="70" w:type="dxa"/>
              <w:start w:w="90" w:type="dxa"/>
              <w:bottom w:w="70" w:type="dxa"/>
              <w:end w:w="90" w:type="dxa"/>
            </w:tcMar>
            <w:vAlign w:val="center"/>
          </w:tcPr>
          <w:p>
            <w:r>
              <w:rPr>
                <w:sz w:val="18"/>
              </w:rPr>
              <w:t>74 %</w:t>
            </w:r>
          </w:p>
        </w:tc>
        <w:tc>
          <w:tcPr>
            <w:tcW w:type="dxa" w:w="2550"/>
            <w:tcMar>
              <w:top w:w="70" w:type="dxa"/>
              <w:start w:w="90" w:type="dxa"/>
              <w:bottom w:w="70" w:type="dxa"/>
              <w:end w:w="90" w:type="dxa"/>
            </w:tcMar>
            <w:vAlign w:val="center"/>
          </w:tcPr>
          <w:p>
            <w:r>
              <w:rPr>
                <w:sz w:val="18"/>
              </w:rPr>
              <w:t>+ 12 puntos porcentuales</w:t>
            </w:r>
          </w:p>
        </w:tc>
      </w:tr>
      <w:tr>
        <w:tc>
          <w:tcPr>
            <w:tcW w:type="dxa" w:w="2550"/>
            <w:tcMar>
              <w:top w:w="70" w:type="dxa"/>
              <w:start w:w="90" w:type="dxa"/>
              <w:bottom w:w="70" w:type="dxa"/>
              <w:end w:w="90" w:type="dxa"/>
            </w:tcMar>
            <w:vAlign w:val="center"/>
          </w:tcPr>
          <w:p>
            <w:r>
              <w:rPr>
                <w:sz w:val="18"/>
              </w:rPr>
              <w:t>Tasa de reapertura</w:t>
            </w:r>
          </w:p>
        </w:tc>
        <w:tc>
          <w:tcPr>
            <w:tcW w:type="dxa" w:w="2550"/>
            <w:tcMar>
              <w:top w:w="70" w:type="dxa"/>
              <w:start w:w="90" w:type="dxa"/>
              <w:bottom w:w="70" w:type="dxa"/>
              <w:end w:w="90" w:type="dxa"/>
            </w:tcMar>
            <w:vAlign w:val="center"/>
          </w:tcPr>
          <w:p>
            <w:r>
              <w:rPr>
                <w:sz w:val="18"/>
              </w:rPr>
              <w:t>11,8 %</w:t>
            </w:r>
          </w:p>
        </w:tc>
        <w:tc>
          <w:tcPr>
            <w:tcW w:type="dxa" w:w="2550"/>
            <w:tcMar>
              <w:top w:w="70" w:type="dxa"/>
              <w:start w:w="90" w:type="dxa"/>
              <w:bottom w:w="70" w:type="dxa"/>
              <w:end w:w="90" w:type="dxa"/>
            </w:tcMar>
            <w:vAlign w:val="center"/>
          </w:tcPr>
          <w:p>
            <w:r>
              <w:rPr>
                <w:sz w:val="18"/>
              </w:rPr>
              <w:t>8,9 %</w:t>
            </w:r>
          </w:p>
        </w:tc>
        <w:tc>
          <w:tcPr>
            <w:tcW w:type="dxa" w:w="2550"/>
            <w:tcMar>
              <w:top w:w="70" w:type="dxa"/>
              <w:start w:w="90" w:type="dxa"/>
              <w:bottom w:w="70" w:type="dxa"/>
              <w:end w:w="90" w:type="dxa"/>
            </w:tcMar>
            <w:vAlign w:val="center"/>
          </w:tcPr>
          <w:p>
            <w:r>
              <w:rPr>
                <w:sz w:val="18"/>
              </w:rPr>
              <w:t>- 2,9 puntos porcentuales</w:t>
            </w:r>
          </w:p>
        </w:tc>
      </w:tr>
      <w:tr>
        <w:tc>
          <w:tcPr>
            <w:tcW w:type="dxa" w:w="2550"/>
            <w:tcMar>
              <w:top w:w="70" w:type="dxa"/>
              <w:start w:w="90" w:type="dxa"/>
              <w:bottom w:w="70" w:type="dxa"/>
              <w:end w:w="90" w:type="dxa"/>
            </w:tcMar>
            <w:vAlign w:val="center"/>
          </w:tcPr>
          <w:p>
            <w:r>
              <w:rPr>
                <w:sz w:val="18"/>
              </w:rPr>
              <w:t>Solicitudes pendientes &gt; 48 h</w:t>
            </w:r>
          </w:p>
        </w:tc>
        <w:tc>
          <w:tcPr>
            <w:tcW w:type="dxa" w:w="2550"/>
            <w:tcMar>
              <w:top w:w="70" w:type="dxa"/>
              <w:start w:w="90" w:type="dxa"/>
              <w:bottom w:w="70" w:type="dxa"/>
              <w:end w:w="90" w:type="dxa"/>
            </w:tcMar>
            <w:vAlign w:val="center"/>
          </w:tcPr>
          <w:p>
            <w:r>
              <w:rPr>
                <w:sz w:val="18"/>
              </w:rPr>
              <w:t>146</w:t>
            </w:r>
          </w:p>
        </w:tc>
        <w:tc>
          <w:tcPr>
            <w:tcW w:type="dxa" w:w="2550"/>
            <w:tcMar>
              <w:top w:w="70" w:type="dxa"/>
              <w:start w:w="90" w:type="dxa"/>
              <w:bottom w:w="70" w:type="dxa"/>
              <w:end w:w="90" w:type="dxa"/>
            </w:tcMar>
            <w:vAlign w:val="center"/>
          </w:tcPr>
          <w:p>
            <w:r>
              <w:rPr>
                <w:sz w:val="18"/>
              </w:rPr>
              <w:t>92</w:t>
            </w:r>
          </w:p>
        </w:tc>
        <w:tc>
          <w:tcPr>
            <w:tcW w:type="dxa" w:w="2550"/>
            <w:tcMar>
              <w:top w:w="70" w:type="dxa"/>
              <w:start w:w="90" w:type="dxa"/>
              <w:bottom w:w="70" w:type="dxa"/>
              <w:end w:w="90" w:type="dxa"/>
            </w:tcMar>
            <w:vAlign w:val="center"/>
          </w:tcPr>
          <w:p>
            <w:r>
              <w:rPr>
                <w:sz w:val="18"/>
              </w:rPr>
              <w:t>- 54 casos</w:t>
            </w:r>
          </w:p>
        </w:tc>
      </w:tr>
      <w:tr>
        <w:tc>
          <w:tcPr>
            <w:tcW w:type="dxa" w:w="2550"/>
            <w:tcMar>
              <w:top w:w="70" w:type="dxa"/>
              <w:start w:w="90" w:type="dxa"/>
              <w:bottom w:w="70" w:type="dxa"/>
              <w:end w:w="90" w:type="dxa"/>
            </w:tcMar>
            <w:vAlign w:val="center"/>
          </w:tcPr>
          <w:p>
            <w:r>
              <w:rPr>
                <w:sz w:val="18"/>
              </w:rPr>
              <w:t>Satisfacción posatención</w:t>
            </w:r>
          </w:p>
        </w:tc>
        <w:tc>
          <w:tcPr>
            <w:tcW w:type="dxa" w:w="2550"/>
            <w:tcMar>
              <w:top w:w="70" w:type="dxa"/>
              <w:start w:w="90" w:type="dxa"/>
              <w:bottom w:w="70" w:type="dxa"/>
              <w:end w:w="90" w:type="dxa"/>
            </w:tcMar>
            <w:vAlign w:val="center"/>
          </w:tcPr>
          <w:p>
            <w:r>
              <w:rPr>
                <w:sz w:val="18"/>
              </w:rPr>
              <w:t>7,4 / 10</w:t>
            </w:r>
          </w:p>
        </w:tc>
        <w:tc>
          <w:tcPr>
            <w:tcW w:type="dxa" w:w="2550"/>
            <w:tcMar>
              <w:top w:w="70" w:type="dxa"/>
              <w:start w:w="90" w:type="dxa"/>
              <w:bottom w:w="70" w:type="dxa"/>
              <w:end w:w="90" w:type="dxa"/>
            </w:tcMar>
            <w:vAlign w:val="center"/>
          </w:tcPr>
          <w:p>
            <w:r>
              <w:rPr>
                <w:sz w:val="18"/>
              </w:rPr>
              <w:t>8,1 / 10</w:t>
            </w:r>
          </w:p>
        </w:tc>
        <w:tc>
          <w:tcPr>
            <w:tcW w:type="dxa" w:w="2550"/>
            <w:tcMar>
              <w:top w:w="70" w:type="dxa"/>
              <w:start w:w="90" w:type="dxa"/>
              <w:bottom w:w="70" w:type="dxa"/>
              <w:end w:w="90" w:type="dxa"/>
            </w:tcMar>
            <w:vAlign w:val="center"/>
          </w:tcPr>
          <w:p>
            <w:r>
              <w:rPr>
                <w:sz w:val="18"/>
              </w:rPr>
              <w:t>+ 0,7 puntos</w:t>
            </w:r>
          </w:p>
        </w:tc>
      </w:tr>
    </w:tbl>
    <w:p>
      <w:pPr>
        <w:spacing w:before="80"/>
      </w:pPr>
      <w:r>
        <w:rPr>
          <w:b/>
        </w:rPr>
        <w:t>Nota:</w:t>
      </w:r>
      <w:r>
        <w:t xml:space="preserve"> los datos anteriores corresponden exclusivamente a las dos unidades participantes y al periodo del piloto. No existe todavía evidencia suficiente para asumir que los mismos resultados se reproducirán en toda la organización.</w:t>
      </w:r>
    </w:p>
    <w:p>
      <w:pPr>
        <w:spacing w:before="160" w:after="80"/>
      </w:pPr>
      <w:r>
        <w:rPr>
          <w:b/>
          <w:color w:val="0F4C82"/>
          <w:sz w:val="26"/>
        </w:rPr>
        <w:t>3. Resultados cualitativos</w:t>
      </w:r>
    </w:p>
    <w:p>
      <w:pPr>
        <w:pStyle w:val="ListBullet"/>
        <w:spacing w:after="40"/>
      </w:pPr>
      <w:r>
        <w:t>Los supervisores informan de una mayor homogeneidad en la clasificación de solicitudes.</w:t>
      </w:r>
    </w:p>
    <w:p>
      <w:pPr>
        <w:pStyle w:val="ListBullet"/>
        <w:spacing w:after="40"/>
      </w:pPr>
      <w:r>
        <w:t>El equipo de Atención al Cliente valora positivamente disponer de procedimientos y respuestas de referencia en un único punto.</w:t>
      </w:r>
    </w:p>
    <w:p>
      <w:pPr>
        <w:pStyle w:val="ListBullet"/>
        <w:spacing w:after="40"/>
      </w:pPr>
      <w:r>
        <w:t>Se detectaron diferencias en el uso de la herramienta entre equipos: la unidad Centro registró una adopción más consistente que la unidad Norte.</w:t>
      </w:r>
    </w:p>
    <w:p>
      <w:pPr>
        <w:pStyle w:val="ListBullet"/>
        <w:spacing w:after="40"/>
      </w:pPr>
      <w:r>
        <w:t>Los usuarios señalaron que algunas categorías son demasiado amplias y requieren una revisión antes de ampliar el despliegue.</w:t>
      </w:r>
    </w:p>
    <w:p>
      <w:pPr>
        <w:pStyle w:val="ListBullet"/>
        <w:spacing w:after="40"/>
      </w:pPr>
      <w:r>
        <w:t>Operaciones considera que el cuadro de seguimiento facilita la identificación de acumulaciones de trabajo, aunque todavía requiere ajustes en los filtros.</w:t>
      </w:r>
    </w:p>
    <w:p>
      <w:pPr>
        <w:spacing w:before="160" w:after="80"/>
      </w:pPr>
      <w:r>
        <w:rPr>
          <w:b/>
          <w:color w:val="0F4C82"/>
          <w:sz w:val="26"/>
        </w:rPr>
        <w:t>4. Incidencias detectadas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fill="E5EFF6"/>
            <w:tcMar>
              <w:top w:w="70" w:type="dxa"/>
              <w:start w:w="90" w:type="dxa"/>
              <w:bottom w:w="70" w:type="dxa"/>
              <w:end w:w="90" w:type="dxa"/>
            </w:tcMar>
          </w:tcPr>
          <w:p>
            <w:r>
              <w:rPr>
                <w:b/>
                <w:sz w:val="17"/>
              </w:rPr>
              <w:t>Incidencia</w:t>
            </w:r>
          </w:p>
        </w:tc>
        <w:tc>
          <w:tcPr>
            <w:tcW w:type="dxa" w:w="2550"/>
            <w:shd w:fill="E5EFF6"/>
            <w:tcMar>
              <w:top w:w="70" w:type="dxa"/>
              <w:start w:w="90" w:type="dxa"/>
              <w:bottom w:w="70" w:type="dxa"/>
              <w:end w:w="90" w:type="dxa"/>
            </w:tcMar>
          </w:tcPr>
          <w:p>
            <w:r>
              <w:rPr>
                <w:b/>
                <w:sz w:val="17"/>
              </w:rPr>
              <w:t>Impacto observado</w:t>
            </w:r>
          </w:p>
        </w:tc>
        <w:tc>
          <w:tcPr>
            <w:tcW w:type="dxa" w:w="2550"/>
            <w:shd w:fill="E5EFF6"/>
            <w:tcMar>
              <w:top w:w="70" w:type="dxa"/>
              <w:start w:w="90" w:type="dxa"/>
              <w:bottom w:w="70" w:type="dxa"/>
              <w:end w:w="90" w:type="dxa"/>
            </w:tcMar>
          </w:tcPr>
          <w:p>
            <w:r>
              <w:rPr>
                <w:b/>
                <w:sz w:val="17"/>
              </w:rPr>
              <w:t>Situación</w:t>
            </w:r>
          </w:p>
        </w:tc>
        <w:tc>
          <w:tcPr>
            <w:tcW w:type="dxa" w:w="2550"/>
            <w:shd w:fill="E5EFF6"/>
            <w:tcMar>
              <w:top w:w="70" w:type="dxa"/>
              <w:start w:w="90" w:type="dxa"/>
              <w:bottom w:w="70" w:type="dxa"/>
              <w:end w:w="90" w:type="dxa"/>
            </w:tcMar>
          </w:tcPr>
          <w:p>
            <w:r>
              <w:rPr>
                <w:b/>
                <w:sz w:val="17"/>
              </w:rPr>
              <w:t>Responsable</w:t>
            </w:r>
          </w:p>
        </w:tc>
      </w:tr>
      <w:tr>
        <w:tc>
          <w:tcPr>
            <w:tcW w:type="dxa" w:w="2550"/>
            <w:tcMar>
              <w:top w:w="70" w:type="dxa"/>
              <w:start w:w="90" w:type="dxa"/>
              <w:bottom w:w="70" w:type="dxa"/>
              <w:end w:w="90" w:type="dxa"/>
            </w:tcMar>
          </w:tcPr>
          <w:p>
            <w:r>
              <w:rPr>
                <w:sz w:val="17"/>
              </w:rPr>
              <w:t>Categorías demasiado genéricas en 3 tipologías</w:t>
            </w:r>
          </w:p>
        </w:tc>
        <w:tc>
          <w:tcPr>
            <w:tcW w:type="dxa" w:w="2550"/>
            <w:tcMar>
              <w:top w:w="70" w:type="dxa"/>
              <w:start w:w="90" w:type="dxa"/>
              <w:bottom w:w="70" w:type="dxa"/>
              <w:end w:w="90" w:type="dxa"/>
            </w:tcMar>
          </w:tcPr>
          <w:p>
            <w:r>
              <w:rPr>
                <w:sz w:val="17"/>
              </w:rPr>
              <w:t>Reclasificación manual de algunos casos</w:t>
            </w:r>
          </w:p>
        </w:tc>
        <w:tc>
          <w:tcPr>
            <w:tcW w:type="dxa" w:w="2550"/>
            <w:tcMar>
              <w:top w:w="70" w:type="dxa"/>
              <w:start w:w="90" w:type="dxa"/>
              <w:bottom w:w="70" w:type="dxa"/>
              <w:end w:w="90" w:type="dxa"/>
            </w:tcMar>
          </w:tcPr>
          <w:p>
            <w:r>
              <w:rPr>
                <w:sz w:val="17"/>
              </w:rPr>
              <w:t>Pendiente de rediseño</w:t>
            </w:r>
          </w:p>
        </w:tc>
        <w:tc>
          <w:tcPr>
            <w:tcW w:type="dxa" w:w="2550"/>
            <w:tcMar>
              <w:top w:w="70" w:type="dxa"/>
              <w:start w:w="90" w:type="dxa"/>
              <w:bottom w:w="70" w:type="dxa"/>
              <w:end w:w="90" w:type="dxa"/>
            </w:tcMar>
          </w:tcPr>
          <w:p>
            <w:r>
              <w:rPr>
                <w:sz w:val="17"/>
              </w:rPr>
              <w:t>Operaciones</w:t>
            </w:r>
          </w:p>
        </w:tc>
      </w:tr>
      <w:tr>
        <w:tc>
          <w:tcPr>
            <w:tcW w:type="dxa" w:w="2550"/>
            <w:tcMar>
              <w:top w:w="70" w:type="dxa"/>
              <w:start w:w="90" w:type="dxa"/>
              <w:bottom w:w="70" w:type="dxa"/>
              <w:end w:w="90" w:type="dxa"/>
            </w:tcMar>
          </w:tcPr>
          <w:p>
            <w:r>
              <w:rPr>
                <w:sz w:val="17"/>
              </w:rPr>
              <w:t>Duplicidad de 27 registros en el panel</w:t>
            </w:r>
          </w:p>
        </w:tc>
        <w:tc>
          <w:tcPr>
            <w:tcW w:type="dxa" w:w="2550"/>
            <w:tcMar>
              <w:top w:w="70" w:type="dxa"/>
              <w:start w:w="90" w:type="dxa"/>
              <w:bottom w:w="70" w:type="dxa"/>
              <w:end w:w="90" w:type="dxa"/>
            </w:tcMar>
          </w:tcPr>
          <w:p>
            <w:r>
              <w:rPr>
                <w:sz w:val="17"/>
              </w:rPr>
              <w:t>Distorsión temporal de indicadores diarios</w:t>
            </w:r>
          </w:p>
        </w:tc>
        <w:tc>
          <w:tcPr>
            <w:tcW w:type="dxa" w:w="2550"/>
            <w:tcMar>
              <w:top w:w="70" w:type="dxa"/>
              <w:start w:w="90" w:type="dxa"/>
              <w:bottom w:w="70" w:type="dxa"/>
              <w:end w:w="90" w:type="dxa"/>
            </w:tcMar>
          </w:tcPr>
          <w:p>
            <w:r>
              <w:rPr>
                <w:sz w:val="17"/>
              </w:rPr>
              <w:t>Corregida el 19 de agosto</w:t>
            </w:r>
          </w:p>
        </w:tc>
        <w:tc>
          <w:tcPr>
            <w:tcW w:type="dxa" w:w="2550"/>
            <w:tcMar>
              <w:top w:w="70" w:type="dxa"/>
              <w:start w:w="90" w:type="dxa"/>
              <w:bottom w:w="70" w:type="dxa"/>
              <w:end w:w="90" w:type="dxa"/>
            </w:tcMar>
          </w:tcPr>
          <w:p>
            <w:r>
              <w:rPr>
                <w:sz w:val="17"/>
              </w:rPr>
              <w:t>Sistemas</w:t>
            </w:r>
          </w:p>
        </w:tc>
      </w:tr>
      <w:tr>
        <w:tc>
          <w:tcPr>
            <w:tcW w:type="dxa" w:w="2550"/>
            <w:tcMar>
              <w:top w:w="70" w:type="dxa"/>
              <w:start w:w="90" w:type="dxa"/>
              <w:bottom w:w="70" w:type="dxa"/>
              <w:end w:w="90" w:type="dxa"/>
            </w:tcMar>
          </w:tcPr>
          <w:p>
            <w:r>
              <w:rPr>
                <w:sz w:val="17"/>
              </w:rPr>
              <w:t>Retraso en actualización de datos en 4 jornadas</w:t>
            </w:r>
          </w:p>
        </w:tc>
        <w:tc>
          <w:tcPr>
            <w:tcW w:type="dxa" w:w="2550"/>
            <w:tcMar>
              <w:top w:w="70" w:type="dxa"/>
              <w:start w:w="90" w:type="dxa"/>
              <w:bottom w:w="70" w:type="dxa"/>
              <w:end w:w="90" w:type="dxa"/>
            </w:tcMar>
          </w:tcPr>
          <w:p>
            <w:r>
              <w:rPr>
                <w:sz w:val="17"/>
              </w:rPr>
              <w:t>Panel desactualizado entre 35 y 70 min</w:t>
            </w:r>
          </w:p>
        </w:tc>
        <w:tc>
          <w:tcPr>
            <w:tcW w:type="dxa" w:w="2550"/>
            <w:tcMar>
              <w:top w:w="70" w:type="dxa"/>
              <w:start w:w="90" w:type="dxa"/>
              <w:bottom w:w="70" w:type="dxa"/>
              <w:end w:w="90" w:type="dxa"/>
            </w:tcMar>
          </w:tcPr>
          <w:p>
            <w:r>
              <w:rPr>
                <w:sz w:val="17"/>
              </w:rPr>
              <w:t>En seguimiento</w:t>
            </w:r>
          </w:p>
        </w:tc>
        <w:tc>
          <w:tcPr>
            <w:tcW w:type="dxa" w:w="2550"/>
            <w:tcMar>
              <w:top w:w="70" w:type="dxa"/>
              <w:start w:w="90" w:type="dxa"/>
              <w:bottom w:w="70" w:type="dxa"/>
              <w:end w:w="90" w:type="dxa"/>
            </w:tcMar>
          </w:tcPr>
          <w:p>
            <w:r>
              <w:rPr>
                <w:sz w:val="17"/>
              </w:rPr>
              <w:t>Proveedor</w:t>
            </w:r>
          </w:p>
        </w:tc>
      </w:tr>
      <w:tr>
        <w:tc>
          <w:tcPr>
            <w:tcW w:type="dxa" w:w="2550"/>
            <w:tcMar>
              <w:top w:w="70" w:type="dxa"/>
              <w:start w:w="90" w:type="dxa"/>
              <w:bottom w:w="70" w:type="dxa"/>
              <w:end w:w="90" w:type="dxa"/>
            </w:tcMar>
          </w:tcPr>
          <w:p>
            <w:r>
              <w:rPr>
                <w:sz w:val="17"/>
              </w:rPr>
              <w:t>Baja adopción de la base de conocimiento en unidad Norte</w:t>
            </w:r>
          </w:p>
        </w:tc>
        <w:tc>
          <w:tcPr>
            <w:tcW w:type="dxa" w:w="2550"/>
            <w:tcMar>
              <w:top w:w="70" w:type="dxa"/>
              <w:start w:w="90" w:type="dxa"/>
              <w:bottom w:w="70" w:type="dxa"/>
              <w:end w:w="90" w:type="dxa"/>
            </w:tcMar>
          </w:tcPr>
          <w:p>
            <w:r>
              <w:rPr>
                <w:sz w:val="17"/>
              </w:rPr>
              <w:t>Uso desigual de respuestas estandarizadas</w:t>
            </w:r>
          </w:p>
        </w:tc>
        <w:tc>
          <w:tcPr>
            <w:tcW w:type="dxa" w:w="2550"/>
            <w:tcMar>
              <w:top w:w="70" w:type="dxa"/>
              <w:start w:w="90" w:type="dxa"/>
              <w:bottom w:w="70" w:type="dxa"/>
              <w:end w:w="90" w:type="dxa"/>
            </w:tcMar>
          </w:tcPr>
          <w:p>
            <w:r>
              <w:rPr>
                <w:sz w:val="17"/>
              </w:rPr>
              <w:t>Plan de refuerzo propuesto</w:t>
            </w:r>
          </w:p>
        </w:tc>
        <w:tc>
          <w:tcPr>
            <w:tcW w:type="dxa" w:w="2550"/>
            <w:tcMar>
              <w:top w:w="70" w:type="dxa"/>
              <w:start w:w="90" w:type="dxa"/>
              <w:bottom w:w="70" w:type="dxa"/>
              <w:end w:w="90" w:type="dxa"/>
            </w:tcMar>
          </w:tcPr>
          <w:p>
            <w:r>
              <w:rPr>
                <w:sz w:val="17"/>
              </w:rPr>
              <w:t>Atención al Cliente</w:t>
            </w:r>
          </w:p>
        </w:tc>
      </w:tr>
    </w:tbl>
    <w:p>
      <w:pPr>
        <w:spacing w:before="160" w:after="80"/>
      </w:pPr>
      <w:r>
        <w:rPr>
          <w:b/>
          <w:color w:val="0F4C82"/>
          <w:sz w:val="26"/>
        </w:rPr>
        <w:t>5. Costes</w:t>
      </w:r>
    </w:p>
    <w:p>
      <w:r>
        <w:t>El presupuesto aprobado para el piloto fue de 42.000 €. El gasto registrado a 31 de agosto asciende a 39.650 €, distribuido entre configuración e integración, soporte del proveedor, formación y dedicación externa.</w:t>
      </w:r>
    </w:p>
    <w:tbl>
      <w:tblPr>
        <w:tblStyle w:val="TableGrid"/>
        <w:tblW w:type="auto" w:w="0"/>
        <w:jc w:val="center"/>
        <w:tblLook w:firstColumn="1" w:firstRow="1" w:lastColumn="0" w:lastRow="0" w:noHBand="0" w:noVBand="1" w:val="04A0"/>
      </w:tblPr>
      <w:tblGrid>
        <w:gridCol w:w="5100"/>
        <w:gridCol w:w="5100"/>
      </w:tblGrid>
      <w:tr>
        <w:tc>
          <w:tcPr>
            <w:tcW w:type="dxa" w:w="5100"/>
            <w:shd w:fill="E5EFF6"/>
            <w:tcMar>
              <w:top w:w="70" w:type="dxa"/>
              <w:start w:w="90" w:type="dxa"/>
              <w:bottom w:w="70" w:type="dxa"/>
              <w:end w:w="90" w:type="dxa"/>
            </w:tcMar>
          </w:tcPr>
          <w:p>
            <w:r>
              <w:rPr>
                <w:b/>
                <w:sz w:val="18"/>
              </w:rPr>
              <w:t>Concepto</w:t>
            </w:r>
          </w:p>
        </w:tc>
        <w:tc>
          <w:tcPr>
            <w:tcW w:type="dxa" w:w="5100"/>
            <w:shd w:fill="E5EFF6"/>
            <w:tcMar>
              <w:top w:w="70" w:type="dxa"/>
              <w:start w:w="90" w:type="dxa"/>
              <w:bottom w:w="70" w:type="dxa"/>
              <w:end w:w="90" w:type="dxa"/>
            </w:tcMar>
          </w:tcPr>
          <w:p>
            <w:r>
              <w:rPr>
                <w:b/>
                <w:sz w:val="18"/>
              </w:rPr>
              <w:t>Importe</w:t>
            </w:r>
          </w:p>
        </w:tc>
      </w:tr>
      <w:tr>
        <w:tc>
          <w:tcPr>
            <w:tcW w:type="dxa" w:w="5100"/>
            <w:tcMar>
              <w:top w:w="70" w:type="dxa"/>
              <w:start w:w="90" w:type="dxa"/>
              <w:bottom w:w="70" w:type="dxa"/>
              <w:end w:w="90" w:type="dxa"/>
            </w:tcMar>
          </w:tcPr>
          <w:p>
            <w:r>
              <w:rPr>
                <w:sz w:val="18"/>
              </w:rPr>
              <w:t>Configuración e integración</w:t>
            </w:r>
          </w:p>
        </w:tc>
        <w:tc>
          <w:tcPr>
            <w:tcW w:type="dxa" w:w="5100"/>
            <w:tcMar>
              <w:top w:w="70" w:type="dxa"/>
              <w:start w:w="90" w:type="dxa"/>
              <w:bottom w:w="70" w:type="dxa"/>
              <w:end w:w="90" w:type="dxa"/>
            </w:tcMar>
          </w:tcPr>
          <w:p>
            <w:r>
              <w:rPr>
                <w:sz w:val="18"/>
              </w:rPr>
              <w:t>18.400 €</w:t>
            </w:r>
          </w:p>
        </w:tc>
      </w:tr>
      <w:tr>
        <w:tc>
          <w:tcPr>
            <w:tcW w:type="dxa" w:w="5100"/>
            <w:tcMar>
              <w:top w:w="70" w:type="dxa"/>
              <w:start w:w="90" w:type="dxa"/>
              <w:bottom w:w="70" w:type="dxa"/>
              <w:end w:w="90" w:type="dxa"/>
            </w:tcMar>
          </w:tcPr>
          <w:p>
            <w:r>
              <w:rPr>
                <w:sz w:val="18"/>
              </w:rPr>
              <w:t>Soporte del proveedor</w:t>
            </w:r>
          </w:p>
        </w:tc>
        <w:tc>
          <w:tcPr>
            <w:tcW w:type="dxa" w:w="5100"/>
            <w:tcMar>
              <w:top w:w="70" w:type="dxa"/>
              <w:start w:w="90" w:type="dxa"/>
              <w:bottom w:w="70" w:type="dxa"/>
              <w:end w:w="90" w:type="dxa"/>
            </w:tcMar>
          </w:tcPr>
          <w:p>
            <w:r>
              <w:rPr>
                <w:sz w:val="18"/>
              </w:rPr>
              <w:t>8.250 €</w:t>
            </w:r>
          </w:p>
        </w:tc>
      </w:tr>
      <w:tr>
        <w:tc>
          <w:tcPr>
            <w:tcW w:type="dxa" w:w="5100"/>
            <w:tcMar>
              <w:top w:w="70" w:type="dxa"/>
              <w:start w:w="90" w:type="dxa"/>
              <w:bottom w:w="70" w:type="dxa"/>
              <w:end w:w="90" w:type="dxa"/>
            </w:tcMar>
          </w:tcPr>
          <w:p>
            <w:r>
              <w:rPr>
                <w:sz w:val="18"/>
              </w:rPr>
              <w:t>Formación y acompañamiento</w:t>
            </w:r>
          </w:p>
        </w:tc>
        <w:tc>
          <w:tcPr>
            <w:tcW w:type="dxa" w:w="5100"/>
            <w:tcMar>
              <w:top w:w="70" w:type="dxa"/>
              <w:start w:w="90" w:type="dxa"/>
              <w:bottom w:w="70" w:type="dxa"/>
              <w:end w:w="90" w:type="dxa"/>
            </w:tcMar>
          </w:tcPr>
          <w:p>
            <w:r>
              <w:rPr>
                <w:sz w:val="18"/>
              </w:rPr>
              <w:t>7.600 €</w:t>
            </w:r>
          </w:p>
        </w:tc>
      </w:tr>
      <w:tr>
        <w:tc>
          <w:tcPr>
            <w:tcW w:type="dxa" w:w="5100"/>
            <w:tcMar>
              <w:top w:w="70" w:type="dxa"/>
              <w:start w:w="90" w:type="dxa"/>
              <w:bottom w:w="70" w:type="dxa"/>
              <w:end w:w="90" w:type="dxa"/>
            </w:tcMar>
          </w:tcPr>
          <w:p>
            <w:r>
              <w:rPr>
                <w:sz w:val="18"/>
              </w:rPr>
              <w:t>Servicios externos adicionales</w:t>
            </w:r>
          </w:p>
        </w:tc>
        <w:tc>
          <w:tcPr>
            <w:tcW w:type="dxa" w:w="5100"/>
            <w:tcMar>
              <w:top w:w="70" w:type="dxa"/>
              <w:start w:w="90" w:type="dxa"/>
              <w:bottom w:w="70" w:type="dxa"/>
              <w:end w:w="90" w:type="dxa"/>
            </w:tcMar>
          </w:tcPr>
          <w:p>
            <w:r>
              <w:rPr>
                <w:sz w:val="18"/>
              </w:rPr>
              <w:t>5.400 €</w:t>
            </w:r>
          </w:p>
        </w:tc>
      </w:tr>
    </w:tbl>
    <w:p>
      <w:r>
        <w:rPr>
          <w:b/>
        </w:rPr>
        <w:t>No existe todavía una estimación validada del coste total de un despliegue global.</w:t>
      </w:r>
    </w:p>
    <w:p>
      <w:pPr>
        <w:spacing w:before="160" w:after="80"/>
      </w:pPr>
      <w:r>
        <w:rPr>
          <w:b/>
          <w:color w:val="0F4C82"/>
          <w:sz w:val="26"/>
        </w:rPr>
        <w:t>6. Riesgos para una ampliación</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fill="E5EFF6"/>
            <w:tcMar>
              <w:top w:w="70" w:type="dxa"/>
              <w:start w:w="90" w:type="dxa"/>
              <w:bottom w:w="70" w:type="dxa"/>
              <w:end w:w="90" w:type="dxa"/>
            </w:tcMar>
          </w:tcPr>
          <w:p>
            <w:r>
              <w:rPr>
                <w:b/>
                <w:sz w:val="17"/>
              </w:rPr>
              <w:t>Riesgo</w:t>
            </w:r>
          </w:p>
        </w:tc>
        <w:tc>
          <w:tcPr>
            <w:tcW w:type="dxa" w:w="3400"/>
            <w:shd w:fill="E5EFF6"/>
            <w:tcMar>
              <w:top w:w="70" w:type="dxa"/>
              <w:start w:w="90" w:type="dxa"/>
              <w:bottom w:w="70" w:type="dxa"/>
              <w:end w:w="90" w:type="dxa"/>
            </w:tcMar>
          </w:tcPr>
          <w:p>
            <w:r>
              <w:rPr>
                <w:b/>
                <w:sz w:val="17"/>
              </w:rPr>
              <w:t>Evidencia disponible</w:t>
            </w:r>
          </w:p>
        </w:tc>
        <w:tc>
          <w:tcPr>
            <w:tcW w:type="dxa" w:w="3400"/>
            <w:shd w:fill="E5EFF6"/>
            <w:tcMar>
              <w:top w:w="70" w:type="dxa"/>
              <w:start w:w="90" w:type="dxa"/>
              <w:bottom w:w="70" w:type="dxa"/>
              <w:end w:w="90" w:type="dxa"/>
            </w:tcMar>
          </w:tcPr>
          <w:p>
            <w:r>
              <w:rPr>
                <w:b/>
                <w:sz w:val="17"/>
              </w:rPr>
              <w:t>Nivel propuesto en el informe</w:t>
            </w:r>
          </w:p>
        </w:tc>
      </w:tr>
      <w:tr>
        <w:tc>
          <w:tcPr>
            <w:tcW w:type="dxa" w:w="3400"/>
            <w:tcMar>
              <w:top w:w="70" w:type="dxa"/>
              <w:start w:w="90" w:type="dxa"/>
              <w:bottom w:w="70" w:type="dxa"/>
              <w:end w:w="90" w:type="dxa"/>
            </w:tcMar>
          </w:tcPr>
          <w:p>
            <w:r>
              <w:rPr>
                <w:sz w:val="17"/>
              </w:rPr>
              <w:t>Escalabilidad operativa</w:t>
            </w:r>
          </w:p>
        </w:tc>
        <w:tc>
          <w:tcPr>
            <w:tcW w:type="dxa" w:w="3400"/>
            <w:tcMar>
              <w:top w:w="70" w:type="dxa"/>
              <w:start w:w="90" w:type="dxa"/>
              <w:bottom w:w="70" w:type="dxa"/>
              <w:end w:w="90" w:type="dxa"/>
            </w:tcMar>
          </w:tcPr>
          <w:p>
            <w:r>
              <w:rPr>
                <w:sz w:val="17"/>
              </w:rPr>
              <w:t>No se ha probado el modelo con el volumen total de la organización.</w:t>
            </w:r>
          </w:p>
        </w:tc>
        <w:tc>
          <w:tcPr>
            <w:tcW w:type="dxa" w:w="3400"/>
            <w:tcMar>
              <w:top w:w="70" w:type="dxa"/>
              <w:start w:w="90" w:type="dxa"/>
              <w:bottom w:w="70" w:type="dxa"/>
              <w:end w:w="90" w:type="dxa"/>
            </w:tcMar>
          </w:tcPr>
          <w:p>
            <w:r>
              <w:rPr>
                <w:sz w:val="17"/>
              </w:rPr>
              <w:t>Alta</w:t>
            </w:r>
          </w:p>
        </w:tc>
      </w:tr>
      <w:tr>
        <w:tc>
          <w:tcPr>
            <w:tcW w:type="dxa" w:w="3400"/>
            <w:tcMar>
              <w:top w:w="70" w:type="dxa"/>
              <w:start w:w="90" w:type="dxa"/>
              <w:bottom w:w="70" w:type="dxa"/>
              <w:end w:w="90" w:type="dxa"/>
            </w:tcMar>
          </w:tcPr>
          <w:p>
            <w:r>
              <w:rPr>
                <w:sz w:val="17"/>
              </w:rPr>
              <w:t>Adopción desigual</w:t>
            </w:r>
          </w:p>
        </w:tc>
        <w:tc>
          <w:tcPr>
            <w:tcW w:type="dxa" w:w="3400"/>
            <w:tcMar>
              <w:top w:w="70" w:type="dxa"/>
              <w:start w:w="90" w:type="dxa"/>
              <w:bottom w:w="70" w:type="dxa"/>
              <w:end w:w="90" w:type="dxa"/>
            </w:tcMar>
          </w:tcPr>
          <w:p>
            <w:r>
              <w:rPr>
                <w:sz w:val="17"/>
              </w:rPr>
              <w:t>La utilización de la base de conocimiento difiere entre unidades.</w:t>
            </w:r>
          </w:p>
        </w:tc>
        <w:tc>
          <w:tcPr>
            <w:tcW w:type="dxa" w:w="3400"/>
            <w:tcMar>
              <w:top w:w="70" w:type="dxa"/>
              <w:start w:w="90" w:type="dxa"/>
              <w:bottom w:w="70" w:type="dxa"/>
              <w:end w:w="90" w:type="dxa"/>
            </w:tcMar>
          </w:tcPr>
          <w:p>
            <w:r>
              <w:rPr>
                <w:sz w:val="17"/>
              </w:rPr>
              <w:t>Media</w:t>
            </w:r>
          </w:p>
        </w:tc>
      </w:tr>
      <w:tr>
        <w:tc>
          <w:tcPr>
            <w:tcW w:type="dxa" w:w="3400"/>
            <w:tcMar>
              <w:top w:w="70" w:type="dxa"/>
              <w:start w:w="90" w:type="dxa"/>
              <w:bottom w:w="70" w:type="dxa"/>
              <w:end w:w="90" w:type="dxa"/>
            </w:tcMar>
          </w:tcPr>
          <w:p>
            <w:r>
              <w:rPr>
                <w:sz w:val="17"/>
              </w:rPr>
              <w:t>Dependencia del proveedor</w:t>
            </w:r>
          </w:p>
        </w:tc>
        <w:tc>
          <w:tcPr>
            <w:tcW w:type="dxa" w:w="3400"/>
            <w:tcMar>
              <w:top w:w="70" w:type="dxa"/>
              <w:start w:w="90" w:type="dxa"/>
              <w:bottom w:w="70" w:type="dxa"/>
              <w:end w:w="90" w:type="dxa"/>
            </w:tcMar>
          </w:tcPr>
          <w:p>
            <w:r>
              <w:rPr>
                <w:sz w:val="17"/>
              </w:rPr>
              <w:t>Algunos ajustes del panel y de integración requieren intervención externa.</w:t>
            </w:r>
          </w:p>
        </w:tc>
        <w:tc>
          <w:tcPr>
            <w:tcW w:type="dxa" w:w="3400"/>
            <w:tcMar>
              <w:top w:w="70" w:type="dxa"/>
              <w:start w:w="90" w:type="dxa"/>
              <w:bottom w:w="70" w:type="dxa"/>
              <w:end w:w="90" w:type="dxa"/>
            </w:tcMar>
          </w:tcPr>
          <w:p>
            <w:r>
              <w:rPr>
                <w:sz w:val="17"/>
              </w:rPr>
              <w:t>Media</w:t>
            </w:r>
          </w:p>
        </w:tc>
      </w:tr>
      <w:tr>
        <w:tc>
          <w:tcPr>
            <w:tcW w:type="dxa" w:w="3400"/>
            <w:tcMar>
              <w:top w:w="70" w:type="dxa"/>
              <w:start w:w="90" w:type="dxa"/>
              <w:bottom w:w="70" w:type="dxa"/>
              <w:end w:w="90" w:type="dxa"/>
            </w:tcMar>
          </w:tcPr>
          <w:p>
            <w:r>
              <w:rPr>
                <w:sz w:val="17"/>
              </w:rPr>
              <w:t>Calidad de categorías</w:t>
            </w:r>
          </w:p>
        </w:tc>
        <w:tc>
          <w:tcPr>
            <w:tcW w:type="dxa" w:w="3400"/>
            <w:tcMar>
              <w:top w:w="70" w:type="dxa"/>
              <w:start w:w="90" w:type="dxa"/>
              <w:bottom w:w="70" w:type="dxa"/>
              <w:end w:w="90" w:type="dxa"/>
            </w:tcMar>
          </w:tcPr>
          <w:p>
            <w:r>
              <w:rPr>
                <w:sz w:val="17"/>
              </w:rPr>
              <w:t>Tres tipologías necesitan rediseño antes de ampliar el uso.</w:t>
            </w:r>
          </w:p>
        </w:tc>
        <w:tc>
          <w:tcPr>
            <w:tcW w:type="dxa" w:w="3400"/>
            <w:tcMar>
              <w:top w:w="70" w:type="dxa"/>
              <w:start w:w="90" w:type="dxa"/>
              <w:bottom w:w="70" w:type="dxa"/>
              <w:end w:w="90" w:type="dxa"/>
            </w:tcMar>
          </w:tcPr>
          <w:p>
            <w:r>
              <w:rPr>
                <w:sz w:val="17"/>
              </w:rPr>
              <w:t>Alta</w:t>
            </w:r>
          </w:p>
        </w:tc>
      </w:tr>
      <w:tr>
        <w:tc>
          <w:tcPr>
            <w:tcW w:type="dxa" w:w="3400"/>
            <w:tcMar>
              <w:top w:w="70" w:type="dxa"/>
              <w:start w:w="90" w:type="dxa"/>
              <w:bottom w:w="70" w:type="dxa"/>
              <w:end w:w="90" w:type="dxa"/>
            </w:tcMar>
          </w:tcPr>
          <w:p>
            <w:r>
              <w:rPr>
                <w:sz w:val="17"/>
              </w:rPr>
              <w:t>Coste final</w:t>
            </w:r>
          </w:p>
        </w:tc>
        <w:tc>
          <w:tcPr>
            <w:tcW w:type="dxa" w:w="3400"/>
            <w:tcMar>
              <w:top w:w="70" w:type="dxa"/>
              <w:start w:w="90" w:type="dxa"/>
              <w:bottom w:w="70" w:type="dxa"/>
              <w:end w:w="90" w:type="dxa"/>
            </w:tcMar>
          </w:tcPr>
          <w:p>
            <w:r>
              <w:rPr>
                <w:sz w:val="17"/>
              </w:rPr>
              <w:t>No se dispone de presupuesto consolidado para el despliegue global.</w:t>
            </w:r>
          </w:p>
        </w:tc>
        <w:tc>
          <w:tcPr>
            <w:tcW w:type="dxa" w:w="3400"/>
            <w:tcMar>
              <w:top w:w="70" w:type="dxa"/>
              <w:start w:w="90" w:type="dxa"/>
              <w:bottom w:w="70" w:type="dxa"/>
              <w:end w:w="90" w:type="dxa"/>
            </w:tcMar>
          </w:tcPr>
          <w:p>
            <w:r>
              <w:rPr>
                <w:sz w:val="17"/>
              </w:rPr>
              <w:t>Alta</w:t>
            </w:r>
          </w:p>
        </w:tc>
      </w:tr>
    </w:tbl>
    <w:p>
      <w:pPr>
        <w:spacing w:before="160" w:after="80"/>
      </w:pPr>
      <w:r>
        <w:rPr>
          <w:b/>
          <w:color w:val="0F4C82"/>
          <w:sz w:val="26"/>
        </w:rPr>
        <w:t>7. Propuesta de siguiente fase</w:t>
      </w:r>
    </w:p>
    <w:p>
      <w:r>
        <w:t>El equipo de proyecto propone una segunda fase controlada de ocho semanas antes de considerar un despliegue global. La propuesta ampliaría el uso a dos unidades adicionales y mantendría las dos unidades piloto.</w:t>
      </w:r>
    </w:p>
    <w:p>
      <w:pPr>
        <w:pStyle w:val="ListBullet"/>
        <w:spacing w:after="40"/>
      </w:pPr>
      <w:r>
        <w:t>Revisar las tres categorías de clasificación identificadas como problemáticas.</w:t>
      </w:r>
    </w:p>
    <w:p>
      <w:pPr>
        <w:pStyle w:val="ListBullet"/>
        <w:spacing w:after="40"/>
      </w:pPr>
      <w:r>
        <w:t>Incorporar dos unidades adicionales para comprobar comportamiento con mayor volumen y diversidad de casos.</w:t>
      </w:r>
    </w:p>
    <w:p>
      <w:pPr>
        <w:pStyle w:val="ListBullet"/>
        <w:spacing w:after="40"/>
      </w:pPr>
      <w:r>
        <w:t>Realizar una formación de refuerzo específica para la unidad Norte.</w:t>
      </w:r>
    </w:p>
    <w:p>
      <w:pPr>
        <w:pStyle w:val="ListBullet"/>
        <w:spacing w:after="40"/>
      </w:pPr>
      <w:r>
        <w:t>Medir semanalmente tiempos de respuesta, reaperturas, pendientes, satisfacción y nivel de adopción.</w:t>
      </w:r>
    </w:p>
    <w:p>
      <w:pPr>
        <w:pStyle w:val="ListBullet"/>
        <w:spacing w:after="40"/>
      </w:pPr>
      <w:r>
        <w:t>Solicitar al proveedor una propuesta económica cerrada para el eventual despliegue global.</w:t>
      </w:r>
    </w:p>
    <w:p>
      <w:pPr>
        <w:pStyle w:val="ListBullet"/>
        <w:spacing w:after="40"/>
      </w:pPr>
      <w:r>
        <w:t>Presentar al comité un informe final al término de las ocho semanas.</w:t>
      </w:r>
    </w:p>
    <w:p>
      <w:pPr>
        <w:spacing w:before="160" w:after="80"/>
      </w:pPr>
      <w:r>
        <w:rPr>
          <w:b/>
          <w:color w:val="0F4C82"/>
          <w:sz w:val="26"/>
        </w:rPr>
        <w:t>8. Estimación económica de la fase 2</w:t>
      </w:r>
    </w:p>
    <w:p>
      <w:r>
        <w:t>El proveedor ha presentado una estimación preliminar de 31.500 € para la segunda fase. La cifra incluye configuración, soporte y ampliación del panel, pero no incluye posibles desarrollos derivados del rediseño de categorías. La propuesta económica definitiva está pendiente.</w:t>
      </w:r>
    </w:p>
    <w:p>
      <w:pPr>
        <w:spacing w:before="160" w:after="80"/>
      </w:pPr>
      <w:r>
        <w:rPr>
          <w:b/>
          <w:color w:val="0F4C82"/>
          <w:sz w:val="26"/>
        </w:rPr>
        <w:t>9. Decisiones pendientes del comité</w:t>
      </w:r>
    </w:p>
    <w:p>
      <w:pPr>
        <w:pStyle w:val="ListBullet"/>
        <w:spacing w:after="40"/>
      </w:pPr>
      <w:r>
        <w:t>Aprobar o no la segunda fase controlada de ocho semanas.</w:t>
      </w:r>
    </w:p>
    <w:p>
      <w:pPr>
        <w:pStyle w:val="ListBullet"/>
        <w:spacing w:after="40"/>
      </w:pPr>
      <w:r>
        <w:t>Autorizar un límite presupuestario inicial de hasta 35.000 € para esa fase, condicionado a recibir la propuesta económica definitiva.</w:t>
      </w:r>
    </w:p>
    <w:p>
      <w:pPr>
        <w:pStyle w:val="ListBullet"/>
        <w:spacing w:after="40"/>
      </w:pPr>
      <w:r>
        <w:t>Confirmar qué dos unidades adicionales participarían en la ampliación.</w:t>
      </w:r>
    </w:p>
    <w:p>
      <w:pPr>
        <w:pStyle w:val="ListBullet"/>
        <w:spacing w:after="40"/>
      </w:pPr>
      <w:r>
        <w:t>Determinar si el despliegue global debe quedar condicionado a objetivos mínimos de rendimiento y adopción.</w:t>
      </w:r>
    </w:p>
    <w:p>
      <w:pPr>
        <w:spacing w:before="160" w:after="80"/>
      </w:pPr>
      <w:r>
        <w:rPr>
          <w:b/>
          <w:color w:val="0F4C82"/>
          <w:sz w:val="26"/>
        </w:rPr>
        <w:t>10. Información todavía no disponible</w:t>
      </w:r>
    </w:p>
    <w:p>
      <w:pPr>
        <w:pStyle w:val="ListBullet"/>
        <w:spacing w:after="40"/>
      </w:pPr>
      <w:r>
        <w:t>Coste validado del despliegue global.</w:t>
      </w:r>
    </w:p>
    <w:p>
      <w:pPr>
        <w:pStyle w:val="ListBullet"/>
        <w:spacing w:after="40"/>
      </w:pPr>
      <w:r>
        <w:t>Impacto esperado con el volumen total de solicitudes de la organización.</w:t>
      </w:r>
    </w:p>
    <w:p>
      <w:pPr>
        <w:pStyle w:val="ListBullet"/>
        <w:spacing w:after="40"/>
      </w:pPr>
      <w:r>
        <w:t>Estimación de ahorro económico derivado de la mejora de tiempos.</w:t>
      </w:r>
    </w:p>
    <w:p>
      <w:pPr>
        <w:pStyle w:val="ListBullet"/>
        <w:spacing w:after="40"/>
      </w:pPr>
      <w:r>
        <w:t>Resultados del piloto desglosados por tipología de solicitud.</w:t>
      </w:r>
    </w:p>
    <w:p>
      <w:pPr>
        <w:pStyle w:val="ListBullet"/>
        <w:spacing w:after="40"/>
      </w:pPr>
      <w:r>
        <w:t>Objetivos mínimos aprobados para considerar exitosa la fase 2.</w:t>
      </w:r>
    </w:p>
    <w:p>
      <w:pPr>
        <w:pStyle w:val="ListBullet"/>
        <w:spacing w:after="40"/>
      </w:pPr>
      <w:r>
        <w:t>Fecha posible de un eventual despliegue global.</w:t>
      </w:r>
    </w:p>
    <w:p>
      <w:pPr>
        <w:spacing w:before="160" w:after="80"/>
      </w:pPr>
      <w:r>
        <w:rPr>
          <w:b/>
          <w:color w:val="0F4C82"/>
          <w:sz w:val="26"/>
        </w:rPr>
        <w:t>11. Conclusión del equipo de proyecto</w:t>
      </w:r>
    </w:p>
    <w:p>
      <w:r>
        <w:t>Los resultados del piloto muestran mejoras en los indicadores medidos durante el periodo analizado, pero el equipo considera que todavía no existe evidencia suficiente para recomendar un despliegue global inmediato. La propuesta es realizar una segunda fase controlada que permita validar escalabilidad, adopción, costes y ajustes operativos antes de adoptar una decisión de implantación general.</w:t>
      </w:r>
    </w:p>
    <w:p>
      <w:pPr>
        <w:spacing w:before="160"/>
      </w:pPr>
      <w:r>
        <w:rPr>
          <w:b/>
          <w:color w:val="0F4C82"/>
        </w:rPr>
        <w:t>Nota para el ejercicio</w:t>
      </w:r>
    </w:p>
    <w:p>
      <w:r>
        <w:t>Este documento contiene toda la información disponible para el caso. Las cifras del piloto no deben extrapolarse automáticamente al conjunto de la organización. No deben inventarse beneficios económicos, previsiones, costes, fechas ni conclusiones que no estén expresamente respaldadas por el informe.</w:t>
      </w:r>
    </w:p>
    <w:sectPr w:rsidR="00FC693F" w:rsidRPr="0006063C" w:rsidSect="00034616">
      <w:pgSz w:w="12240" w:h="15840"/>
      <w:pgMar w:top="879" w:right="1020" w:bottom="87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