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2F75B5"/>
          <w:sz w:val="17"/>
        </w:rPr>
        <w:t>INFORME INTERNO DE SEGUIMIENTO</w:t>
      </w:r>
    </w:p>
    <w:p>
      <w:pPr>
        <w:pStyle w:val="Title"/>
      </w:pPr>
      <w:r>
        <w:t>Proyecto NEXUS</w:t>
      </w:r>
    </w:p>
    <w:p>
      <w:pPr>
        <w:spacing w:after="240"/>
      </w:pPr>
      <w:r>
        <w:rPr>
          <w:color w:val="222222"/>
          <w:sz w:val="26"/>
        </w:rPr>
        <w:t>Implantación de la nueva plataforma unificada de atención al cliente</w:t>
      </w:r>
    </w:p>
    <w:tbl>
      <w:tblPr>
        <w:tblStyle w:val="TableGrid"/>
        <w:tblW w:type="auto" w:w="0"/>
        <w:jc w:val="center"/>
        <w:tblLayout w:type="fixed"/>
        <w:tblLook w:firstColumn="1" w:firstRow="1" w:lastColumn="0" w:lastRow="0" w:noHBand="0" w:noVBand="1" w:val="04A0"/>
      </w:tblPr>
      <w:tblGrid>
        <w:gridCol w:w="2550"/>
        <w:gridCol w:w="2550"/>
        <w:gridCol w:w="2550"/>
        <w:gridCol w:w="2550"/>
      </w:tblGrid>
      <w:tr>
        <w:trPr>
          <w:tblHeader w:val="true"/>
          <w:cantSplit/>
        </w:trPr>
        <w:tc>
          <w:tcPr>
            <w:tcW w:type="dxa" w:w="2550"/>
            <w:tcMar>
              <w:top w:w="80" w:type="dxa"/>
              <w:start w:w="90" w:type="dxa"/>
              <w:bottom w:w="80" w:type="dxa"/>
              <w:end w:w="90" w:type="dxa"/>
            </w:tcMar>
            <w:shd w:fill="D9EAF7"/>
            <w:vAlign w:val="center"/>
          </w:tcPr>
          <w:p>
            <w:pPr>
              <w:spacing w:after="0" w:before="0"/>
            </w:pPr>
            <w:r>
              <w:rPr>
                <w:rFonts w:ascii="Aptos" w:hAnsi="Aptos"/>
                <w:b/>
                <w:color w:val="17365D"/>
                <w:sz w:val="18"/>
              </w:rPr>
              <w:t>Fecha del informe</w:t>
            </w:r>
          </w:p>
        </w:tc>
        <w:tc>
          <w:tcPr>
            <w:tcW w:type="dxa" w:w="2550"/>
            <w:tcMar>
              <w:top w:w="80" w:type="dxa"/>
              <w:start w:w="90" w:type="dxa"/>
              <w:bottom w:w="80" w:type="dxa"/>
              <w:end w:w="90" w:type="dxa"/>
            </w:tcMar>
            <w:vAlign w:val="center"/>
            <w:shd w:fill="D9EAF7"/>
          </w:tcPr>
          <w:p>
            <w:pPr>
              <w:spacing w:after="0" w:before="0"/>
            </w:pPr>
            <w:r>
              <w:rPr>
                <w:rFonts w:ascii="Aptos" w:hAnsi="Aptos"/>
                <w:b w:val="0"/>
                <w:color w:val="222222"/>
                <w:sz w:val="18"/>
              </w:rPr>
              <w:t>18/09/2026</w:t>
            </w:r>
          </w:p>
        </w:tc>
        <w:tc>
          <w:tcPr>
            <w:tcW w:type="dxa" w:w="2550"/>
            <w:tcMar>
              <w:top w:w="80" w:type="dxa"/>
              <w:start w:w="90" w:type="dxa"/>
              <w:bottom w:w="80" w:type="dxa"/>
              <w:end w:w="90" w:type="dxa"/>
            </w:tcMar>
            <w:shd w:fill="D9EAF7"/>
            <w:vAlign w:val="center"/>
          </w:tcPr>
          <w:p>
            <w:pPr>
              <w:spacing w:after="0" w:before="0"/>
            </w:pPr>
            <w:r>
              <w:rPr>
                <w:rFonts w:ascii="Aptos" w:hAnsi="Aptos"/>
                <w:b/>
                <w:color w:val="17365D"/>
                <w:sz w:val="18"/>
              </w:rPr>
              <w:t>Responsable del informe</w:t>
            </w:r>
          </w:p>
        </w:tc>
        <w:tc>
          <w:tcPr>
            <w:tcW w:type="dxa" w:w="2550"/>
            <w:tcMar>
              <w:top w:w="80" w:type="dxa"/>
              <w:start w:w="90" w:type="dxa"/>
              <w:bottom w:w="80" w:type="dxa"/>
              <w:end w:w="90" w:type="dxa"/>
            </w:tcMar>
            <w:vAlign w:val="center"/>
            <w:shd w:fill="D9EAF7"/>
          </w:tcPr>
          <w:p>
            <w:pPr>
              <w:spacing w:after="0" w:before="0"/>
            </w:pPr>
            <w:r>
              <w:rPr>
                <w:rFonts w:ascii="Aptos" w:hAnsi="Aptos"/>
                <w:b w:val="0"/>
                <w:color w:val="222222"/>
                <w:sz w:val="18"/>
              </w:rPr>
              <w:t>Oficina de Proyecto NEXUS</w:t>
            </w:r>
          </w:p>
        </w:tc>
      </w:tr>
      <w:tr>
        <w:trPr>
          <w:cantSplit/>
        </w:trPr>
        <w:tc>
          <w:tcPr>
            <w:tcW w:type="dxa" w:w="2550"/>
            <w:tcMar>
              <w:top w:w="80" w:type="dxa"/>
              <w:start w:w="90" w:type="dxa"/>
              <w:bottom w:w="80" w:type="dxa"/>
              <w:end w:w="90" w:type="dxa"/>
            </w:tcMar>
            <w:shd w:fill="D9EAF7"/>
            <w:vAlign w:val="center"/>
          </w:tcPr>
          <w:p>
            <w:pPr>
              <w:spacing w:after="0" w:before="0"/>
            </w:pPr>
            <w:r>
              <w:rPr>
                <w:rFonts w:ascii="Aptos" w:hAnsi="Aptos"/>
                <w:b/>
                <w:color w:val="17365D"/>
                <w:sz w:val="18"/>
              </w:rPr>
              <w:t>Fecha prevista de puesta en producción</w:t>
            </w:r>
          </w:p>
        </w:tc>
        <w:tc>
          <w:tcPr>
            <w:tcW w:type="dxa" w:w="2550"/>
            <w:tcMar>
              <w:top w:w="80" w:type="dxa"/>
              <w:start w:w="90" w:type="dxa"/>
              <w:bottom w:w="80" w:type="dxa"/>
              <w:end w:w="90" w:type="dxa"/>
            </w:tcMar>
            <w:vAlign w:val="center"/>
          </w:tcPr>
          <w:p>
            <w:pPr>
              <w:spacing w:after="0" w:before="0"/>
            </w:pPr>
            <w:r>
              <w:rPr>
                <w:rFonts w:ascii="Aptos" w:hAnsi="Aptos"/>
                <w:b w:val="0"/>
                <w:color w:val="222222"/>
                <w:sz w:val="18"/>
              </w:rPr>
              <w:t>26/10/2026</w:t>
            </w:r>
          </w:p>
        </w:tc>
        <w:tc>
          <w:tcPr>
            <w:tcW w:type="dxa" w:w="2550"/>
            <w:tcMar>
              <w:top w:w="80" w:type="dxa"/>
              <w:start w:w="90" w:type="dxa"/>
              <w:bottom w:w="80" w:type="dxa"/>
              <w:end w:w="90" w:type="dxa"/>
            </w:tcMar>
            <w:shd w:fill="D9EAF7"/>
            <w:vAlign w:val="center"/>
          </w:tcPr>
          <w:p>
            <w:pPr>
              <w:spacing w:after="0" w:before="0"/>
            </w:pPr>
            <w:r>
              <w:rPr>
                <w:rFonts w:ascii="Aptos" w:hAnsi="Aptos"/>
                <w:b/>
                <w:color w:val="17365D"/>
                <w:sz w:val="18"/>
              </w:rPr>
              <w:t>Estado global</w:t>
            </w:r>
          </w:p>
        </w:tc>
        <w:tc>
          <w:tcPr>
            <w:tcW w:type="dxa" w:w="2550"/>
            <w:tcMar>
              <w:top w:w="80" w:type="dxa"/>
              <w:start w:w="90" w:type="dxa"/>
              <w:bottom w:w="80" w:type="dxa"/>
              <w:end w:w="90" w:type="dxa"/>
            </w:tcMar>
            <w:vAlign w:val="center"/>
          </w:tcPr>
          <w:p>
            <w:pPr>
              <w:spacing w:after="0" w:before="0"/>
            </w:pPr>
            <w:r>
              <w:rPr>
                <w:rFonts w:ascii="Aptos" w:hAnsi="Aptos"/>
                <w:b w:val="0"/>
                <w:color w:val="222222"/>
                <w:sz w:val="18"/>
              </w:rPr>
              <w:t>EN SEGUIMIENTO</w:t>
            </w:r>
          </w:p>
        </w:tc>
      </w:tr>
    </w:tbl>
    <w:p>
      <w:pPr>
        <w:pStyle w:val="Heading1"/>
      </w:pPr>
      <w:r>
        <w:t>1. Resumen ejecutivo</w:t>
      </w:r>
    </w:p>
    <w:tbl>
      <w:tblPr>
        <w:tblStyle w:val="TableGrid"/>
        <w:tblW w:type="auto" w:w="0"/>
        <w:jc w:val="center"/>
        <w:tblLook w:firstColumn="1" w:firstRow="1" w:lastColumn="0" w:lastRow="0" w:noHBand="0" w:noVBand="1" w:val="04A0"/>
      </w:tblPr>
      <w:tblGrid>
        <w:gridCol w:w="10200"/>
      </w:tblGrid>
      <w:tr>
        <w:trPr>
          <w:cantSplit/>
        </w:trPr>
        <w:tc>
          <w:tcPr>
            <w:tcW w:type="dxa" w:w="10200"/>
            <w:shd w:fill="EEF4F9"/>
            <w:tcMar>
              <w:top w:w="110" w:type="dxa"/>
              <w:start w:w="140" w:type="dxa"/>
              <w:bottom w:w="110" w:type="dxa"/>
              <w:end w:w="140" w:type="dxa"/>
            </w:tcMar>
          </w:tcPr>
          <w:p>
            <w:pPr>
              <w:spacing w:after="40"/>
            </w:pPr>
            <w:r>
              <w:rPr>
                <w:b/>
                <w:color w:val="17365D"/>
                <w:sz w:val="21"/>
              </w:rPr>
              <w:t>Situación general</w:t>
            </w:r>
          </w:p>
          <w:p>
            <w:pPr>
              <w:spacing w:after="0"/>
            </w:pPr>
            <w:r>
              <w:rPr>
                <w:sz w:val="19"/>
              </w:rPr>
              <w:t>El proyecto mantiene como objetivo la puesta en producción del 26 de octubre. El avance funcional es alto, pero existen incidencias críticas en la integración con el sistema legado, retraso en la validación de datos y dos decisiones pendientes que pueden afectar al calendario y al coste.</w:t>
            </w:r>
          </w:p>
        </w:tc>
      </w:tr>
    </w:tbl>
    <w:p>
      <w:pPr>
        <w:spacing w:after="0"/>
      </w:pPr>
    </w:p>
    <w:p>
      <w:pPr>
        <w:pStyle w:val="ListBullet"/>
        <w:spacing w:after="50"/>
      </w:pPr>
      <w:r>
        <w:t>Configuración funcional completada al 92 %. Quedan pendientes dos reglas de negocio solicitadas durante las pruebas de usuario.</w:t>
      </w:r>
    </w:p>
    <w:p>
      <w:pPr>
        <w:pStyle w:val="ListBullet"/>
        <w:spacing w:after="50"/>
      </w:pPr>
      <w:r>
        <w:t>Migración: 41.200 de 52.800 registros cargados. De ellos, 37.400 han sido validados; 3.800 continúan en revisión.</w:t>
      </w:r>
    </w:p>
    <w:p>
      <w:pPr>
        <w:pStyle w:val="ListBullet"/>
        <w:spacing w:after="50"/>
      </w:pPr>
      <w:r>
        <w:t>Pruebas de usuario: 64 de 82 escenarios superados, 11 fallidos y 7 pendientes de ejecución.</w:t>
      </w:r>
    </w:p>
    <w:p>
      <w:pPr>
        <w:pStyle w:val="ListBullet"/>
        <w:spacing w:after="50"/>
      </w:pPr>
      <w:r>
        <w:t>Se mantienen 6 incidencias críticas abiertas. Tres afectan a la integración con el sistema legado de devoluciones.</w:t>
      </w:r>
    </w:p>
    <w:p>
      <w:pPr>
        <w:pStyle w:val="ListBullet"/>
        <w:spacing w:after="50"/>
      </w:pPr>
      <w:r>
        <w:t>El presupuesto aprobado es de 184.000 €. El gasto comprometido asciende a 151.800 €, pero no existe todavía una previsión validada de coste final.</w:t>
      </w:r>
    </w:p>
    <w:p>
      <w:pPr>
        <w:pStyle w:val="Heading2"/>
      </w:pPr>
      <w:r>
        <w:t>Decisiones que requieren atención</w:t>
      </w:r>
    </w:p>
    <w:p>
      <w:pPr>
        <w:pStyle w:val="ListBullet"/>
        <w:spacing w:after="50"/>
      </w:pPr>
      <w:r>
        <w:t>Decidir si se aprueba la solicitud de cambio CR-09, estimada por el proveedor en 8.500 € y cinco días laborables.</w:t>
      </w:r>
    </w:p>
    <w:p>
      <w:pPr>
        <w:pStyle w:val="ListBullet"/>
        <w:spacing w:after="50"/>
      </w:pPr>
      <w:r>
        <w:t>Confirmar, después de las pruebas del 25 de septiembre, si se mantiene el alcance completo para el 26 de octubre o se pospone el módulo de devoluciones.</w:t>
      </w:r>
    </w:p>
    <w:p>
      <w:pPr>
        <w:pStyle w:val="Heading1"/>
        <w:pageBreakBefore/>
      </w:pPr>
      <w:r>
        <w:t>2. Estado por área</w:t>
      </w:r>
    </w:p>
    <w:p>
      <w:r>
        <w:rPr>
          <w:i/>
        </w:rPr>
        <w:t>Seguimiento a fecha 18 de septiembre de 2026.</w:t>
      </w:r>
    </w:p>
    <w:tbl>
      <w:tblPr>
        <w:tblStyle w:val="TableGrid"/>
        <w:tblW w:type="auto" w:w="0"/>
        <w:jc w:val="center"/>
        <w:tblLayout w:type="fixed"/>
        <w:tblLook w:firstColumn="1" w:firstRow="1" w:lastColumn="0" w:lastRow="0" w:noHBand="0" w:noVBand="1" w:val="04A0"/>
      </w:tblPr>
      <w:tblGrid>
        <w:gridCol w:w="2040"/>
        <w:gridCol w:w="2040"/>
        <w:gridCol w:w="2040"/>
        <w:gridCol w:w="2040"/>
        <w:gridCol w:w="2040"/>
      </w:tblGrid>
      <w:tr>
        <w:trPr>
          <w:tblHeader w:val="true"/>
          <w:cantSplit/>
        </w:trPr>
        <w:tc>
          <w:tcPr>
            <w:tcW w:type="dxa" w:w="1757"/>
            <w:tcMar>
              <w:top w:w="80" w:type="dxa"/>
              <w:start w:w="90" w:type="dxa"/>
              <w:bottom w:w="80" w:type="dxa"/>
              <w:end w:w="90" w:type="dxa"/>
            </w:tcMar>
            <w:vAlign w:val="center"/>
            <w:shd w:fill="17365D"/>
          </w:tcPr>
          <w:p>
            <w:pPr>
              <w:spacing w:after="0" w:before="0"/>
            </w:pPr>
            <w:r>
              <w:rPr>
                <w:rFonts w:ascii="Aptos" w:hAnsi="Aptos"/>
                <w:b/>
                <w:color w:val="FFFFFF"/>
                <w:sz w:val="16"/>
              </w:rPr>
              <w:t>Área</w:t>
            </w:r>
          </w:p>
        </w:tc>
        <w:tc>
          <w:tcPr>
            <w:tcW w:type="dxa" w:w="1191"/>
            <w:tcMar>
              <w:top w:w="80" w:type="dxa"/>
              <w:start w:w="90" w:type="dxa"/>
              <w:bottom w:w="80" w:type="dxa"/>
              <w:end w:w="90" w:type="dxa"/>
            </w:tcMar>
            <w:vAlign w:val="center"/>
            <w:shd w:fill="17365D"/>
          </w:tcPr>
          <w:p>
            <w:pPr>
              <w:spacing w:after="0" w:before="0"/>
            </w:pPr>
            <w:r>
              <w:rPr>
                <w:rFonts w:ascii="Aptos" w:hAnsi="Aptos"/>
                <w:b/>
                <w:color w:val="FFFFFF"/>
                <w:sz w:val="16"/>
              </w:rPr>
              <w:t>Estado</w:t>
            </w:r>
          </w:p>
        </w:tc>
        <w:tc>
          <w:tcPr>
            <w:tcW w:type="dxa" w:w="1757"/>
            <w:tcMar>
              <w:top w:w="80" w:type="dxa"/>
              <w:start w:w="90" w:type="dxa"/>
              <w:bottom w:w="80" w:type="dxa"/>
              <w:end w:w="90" w:type="dxa"/>
            </w:tcMar>
            <w:vAlign w:val="center"/>
            <w:shd w:fill="17365D"/>
          </w:tcPr>
          <w:p>
            <w:pPr>
              <w:spacing w:after="0" w:before="0"/>
            </w:pPr>
            <w:r>
              <w:rPr>
                <w:rFonts w:ascii="Aptos" w:hAnsi="Aptos"/>
                <w:b/>
                <w:color w:val="FFFFFF"/>
                <w:sz w:val="16"/>
              </w:rPr>
              <w:t>Avance / dato</w:t>
            </w:r>
          </w:p>
        </w:tc>
        <w:tc>
          <w:tcPr>
            <w:tcW w:type="dxa" w:w="4195"/>
            <w:tcMar>
              <w:top w:w="80" w:type="dxa"/>
              <w:start w:w="90" w:type="dxa"/>
              <w:bottom w:w="80" w:type="dxa"/>
              <w:end w:w="90" w:type="dxa"/>
            </w:tcMar>
            <w:vAlign w:val="center"/>
            <w:shd w:fill="17365D"/>
          </w:tcPr>
          <w:p>
            <w:pPr>
              <w:spacing w:after="0" w:before="0"/>
            </w:pPr>
            <w:r>
              <w:rPr>
                <w:rFonts w:ascii="Aptos" w:hAnsi="Aptos"/>
                <w:b/>
                <w:color w:val="FFFFFF"/>
                <w:sz w:val="16"/>
              </w:rPr>
              <w:t>Situación actual</w:t>
            </w:r>
          </w:p>
        </w:tc>
        <w:tc>
          <w:tcPr>
            <w:tcW w:type="dxa" w:w="2268"/>
            <w:tcMar>
              <w:top w:w="80" w:type="dxa"/>
              <w:start w:w="90" w:type="dxa"/>
              <w:bottom w:w="80" w:type="dxa"/>
              <w:end w:w="90" w:type="dxa"/>
            </w:tcMar>
            <w:vAlign w:val="center"/>
            <w:shd w:fill="17365D"/>
          </w:tcPr>
          <w:p>
            <w:pPr>
              <w:spacing w:after="0" w:before="0"/>
            </w:pPr>
            <w:r>
              <w:rPr>
                <w:rFonts w:ascii="Aptos" w:hAnsi="Aptos"/>
                <w:b/>
                <w:color w:val="FFFFFF"/>
                <w:sz w:val="16"/>
              </w:rPr>
              <w:t>Próximo hito</w:t>
            </w:r>
          </w:p>
        </w:tc>
      </w:tr>
      <w:tr>
        <w:trPr>
          <w:cantSplit/>
        </w:trPr>
        <w:tc>
          <w:tcPr>
            <w:tcW w:type="dxa" w:w="1757"/>
            <w:tcMar>
              <w:top w:w="80" w:type="dxa"/>
              <w:start w:w="90" w:type="dxa"/>
              <w:bottom w:w="80" w:type="dxa"/>
              <w:end w:w="90" w:type="dxa"/>
            </w:tcMar>
            <w:vAlign w:val="center"/>
          </w:tcPr>
          <w:p>
            <w:pPr>
              <w:spacing w:after="0" w:before="0"/>
            </w:pPr>
            <w:r>
              <w:rPr>
                <w:rFonts w:ascii="Aptos" w:hAnsi="Aptos"/>
                <w:b/>
                <w:sz w:val="16"/>
              </w:rPr>
              <w:t>Configuración funcional</w:t>
            </w:r>
          </w:p>
        </w:tc>
        <w:tc>
          <w:tcPr>
            <w:tcW w:type="dxa" w:w="1191"/>
            <w:tcMar>
              <w:top w:w="80" w:type="dxa"/>
              <w:start w:w="90" w:type="dxa"/>
              <w:bottom w:w="80" w:type="dxa"/>
              <w:end w:w="90" w:type="dxa"/>
            </w:tcMar>
            <w:vAlign w:val="center"/>
          </w:tcPr>
          <w:p>
            <w:pPr>
              <w:spacing w:after="0" w:before="0"/>
            </w:pPr>
            <w:r>
              <w:rPr>
                <w:rFonts w:ascii="Aptos" w:hAnsi="Aptos"/>
                <w:sz w:val="16"/>
              </w:rPr>
              <w:t>En curso</w:t>
            </w:r>
          </w:p>
        </w:tc>
        <w:tc>
          <w:tcPr>
            <w:tcW w:type="dxa" w:w="1757"/>
            <w:tcMar>
              <w:top w:w="80" w:type="dxa"/>
              <w:start w:w="90" w:type="dxa"/>
              <w:bottom w:w="80" w:type="dxa"/>
              <w:end w:w="90" w:type="dxa"/>
            </w:tcMar>
            <w:vAlign w:val="center"/>
          </w:tcPr>
          <w:p>
            <w:pPr>
              <w:spacing w:after="0" w:before="0"/>
            </w:pPr>
            <w:r>
              <w:rPr>
                <w:rFonts w:ascii="Aptos" w:hAnsi="Aptos"/>
                <w:sz w:val="16"/>
              </w:rPr>
              <w:t>92 %</w:t>
            </w:r>
          </w:p>
        </w:tc>
        <w:tc>
          <w:tcPr>
            <w:tcW w:type="dxa" w:w="4195"/>
            <w:tcMar>
              <w:top w:w="80" w:type="dxa"/>
              <w:start w:w="90" w:type="dxa"/>
              <w:bottom w:w="80" w:type="dxa"/>
              <w:end w:w="90" w:type="dxa"/>
            </w:tcMar>
            <w:vAlign w:val="center"/>
          </w:tcPr>
          <w:p>
            <w:pPr>
              <w:spacing w:after="0" w:before="0"/>
            </w:pPr>
            <w:r>
              <w:rPr>
                <w:rFonts w:ascii="Aptos" w:hAnsi="Aptos"/>
                <w:sz w:val="16"/>
              </w:rPr>
              <w:t>Dos reglas de negocio permanecen pendientes tras las pruebas de usuario.</w:t>
            </w:r>
          </w:p>
        </w:tc>
        <w:tc>
          <w:tcPr>
            <w:tcW w:type="dxa" w:w="2268"/>
            <w:tcMar>
              <w:top w:w="80" w:type="dxa"/>
              <w:start w:w="90" w:type="dxa"/>
              <w:bottom w:w="80" w:type="dxa"/>
              <w:end w:w="90" w:type="dxa"/>
            </w:tcMar>
            <w:vAlign w:val="center"/>
          </w:tcPr>
          <w:p>
            <w:pPr>
              <w:spacing w:after="0" w:before="0"/>
            </w:pPr>
            <w:r>
              <w:rPr>
                <w:rFonts w:ascii="Aptos" w:hAnsi="Aptos"/>
                <w:sz w:val="16"/>
              </w:rPr>
              <w:t>Cerrar configuración antes del 30/09.</w:t>
            </w:r>
          </w:p>
        </w:tc>
      </w:tr>
      <w:tr>
        <w:trPr>
          <w:cantSplit/>
        </w:trPr>
        <w:tc>
          <w:tcPr>
            <w:tcW w:type="dxa" w:w="1757"/>
            <w:tcMar>
              <w:top w:w="80" w:type="dxa"/>
              <w:start w:w="90" w:type="dxa"/>
              <w:bottom w:w="80" w:type="dxa"/>
              <w:end w:w="90" w:type="dxa"/>
            </w:tcMar>
            <w:vAlign w:val="center"/>
          </w:tcPr>
          <w:p>
            <w:pPr>
              <w:spacing w:after="0" w:before="0"/>
            </w:pPr>
            <w:r>
              <w:rPr>
                <w:rFonts w:ascii="Aptos" w:hAnsi="Aptos"/>
                <w:b/>
                <w:sz w:val="16"/>
              </w:rPr>
              <w:t>Migración de datos</w:t>
            </w:r>
          </w:p>
        </w:tc>
        <w:tc>
          <w:tcPr>
            <w:tcW w:type="dxa" w:w="1191"/>
            <w:tcMar>
              <w:top w:w="80" w:type="dxa"/>
              <w:start w:w="90" w:type="dxa"/>
              <w:bottom w:w="80" w:type="dxa"/>
              <w:end w:w="90" w:type="dxa"/>
            </w:tcMar>
            <w:vAlign w:val="center"/>
          </w:tcPr>
          <w:p>
            <w:pPr>
              <w:spacing w:after="0" w:before="0"/>
            </w:pPr>
            <w:r>
              <w:rPr>
                <w:rFonts w:ascii="Aptos" w:hAnsi="Aptos"/>
                <w:sz w:val="16"/>
              </w:rPr>
              <w:t>En riesgo</w:t>
            </w:r>
          </w:p>
        </w:tc>
        <w:tc>
          <w:tcPr>
            <w:tcW w:type="dxa" w:w="1757"/>
            <w:tcMar>
              <w:top w:w="80" w:type="dxa"/>
              <w:start w:w="90" w:type="dxa"/>
              <w:bottom w:w="80" w:type="dxa"/>
              <w:end w:w="90" w:type="dxa"/>
            </w:tcMar>
            <w:vAlign w:val="center"/>
          </w:tcPr>
          <w:p>
            <w:pPr>
              <w:spacing w:after="0" w:before="0"/>
            </w:pPr>
            <w:r>
              <w:rPr>
                <w:rFonts w:ascii="Aptos" w:hAnsi="Aptos"/>
                <w:sz w:val="16"/>
              </w:rPr>
              <w:t>41.200 / 52.800 cargados</w:t>
            </w:r>
          </w:p>
        </w:tc>
        <w:tc>
          <w:tcPr>
            <w:tcW w:type="dxa" w:w="4195"/>
            <w:tcMar>
              <w:top w:w="80" w:type="dxa"/>
              <w:start w:w="90" w:type="dxa"/>
              <w:bottom w:w="80" w:type="dxa"/>
              <w:end w:w="90" w:type="dxa"/>
            </w:tcMar>
            <w:vAlign w:val="center"/>
          </w:tcPr>
          <w:p>
            <w:pPr>
              <w:spacing w:after="0" w:before="0"/>
            </w:pPr>
            <w:r>
              <w:rPr>
                <w:rFonts w:ascii="Aptos" w:hAnsi="Aptos"/>
                <w:sz w:val="16"/>
              </w:rPr>
              <w:t>37.400 registros validados; 3.800 en revisión. Se han detectado 320 registros con direcciones duplicadas que requieren revisión manual.</w:t>
            </w:r>
          </w:p>
        </w:tc>
        <w:tc>
          <w:tcPr>
            <w:tcW w:type="dxa" w:w="2268"/>
            <w:tcMar>
              <w:top w:w="80" w:type="dxa"/>
              <w:start w:w="90" w:type="dxa"/>
              <w:bottom w:w="80" w:type="dxa"/>
              <w:end w:w="90" w:type="dxa"/>
            </w:tcMar>
            <w:vAlign w:val="center"/>
          </w:tcPr>
          <w:p>
            <w:pPr>
              <w:spacing w:after="0" w:before="0"/>
            </w:pPr>
            <w:r>
              <w:rPr>
                <w:rFonts w:ascii="Aptos" w:hAnsi="Aptos"/>
                <w:sz w:val="16"/>
              </w:rPr>
              <w:t>Previsión actualizada de finalización: 22/09.</w:t>
            </w:r>
          </w:p>
        </w:tc>
      </w:tr>
      <w:tr>
        <w:trPr>
          <w:cantSplit/>
        </w:trPr>
        <w:tc>
          <w:tcPr>
            <w:tcW w:type="dxa" w:w="1757"/>
            <w:tcMar>
              <w:top w:w="80" w:type="dxa"/>
              <w:start w:w="90" w:type="dxa"/>
              <w:bottom w:w="80" w:type="dxa"/>
              <w:end w:w="90" w:type="dxa"/>
            </w:tcMar>
            <w:vAlign w:val="center"/>
          </w:tcPr>
          <w:p>
            <w:pPr>
              <w:spacing w:after="0" w:before="0"/>
            </w:pPr>
            <w:r>
              <w:rPr>
                <w:rFonts w:ascii="Aptos" w:hAnsi="Aptos"/>
                <w:b/>
                <w:sz w:val="16"/>
              </w:rPr>
              <w:t>Integraciones</w:t>
            </w:r>
          </w:p>
        </w:tc>
        <w:tc>
          <w:tcPr>
            <w:tcW w:type="dxa" w:w="1191"/>
            <w:tcMar>
              <w:top w:w="80" w:type="dxa"/>
              <w:start w:w="90" w:type="dxa"/>
              <w:bottom w:w="80" w:type="dxa"/>
              <w:end w:w="90" w:type="dxa"/>
            </w:tcMar>
            <w:vAlign w:val="center"/>
          </w:tcPr>
          <w:p>
            <w:pPr>
              <w:spacing w:after="0" w:before="0"/>
            </w:pPr>
            <w:r>
              <w:rPr>
                <w:rFonts w:ascii="Aptos" w:hAnsi="Aptos"/>
                <w:sz w:val="16"/>
              </w:rPr>
              <w:t>En riesgo</w:t>
            </w:r>
          </w:p>
        </w:tc>
        <w:tc>
          <w:tcPr>
            <w:tcW w:type="dxa" w:w="1757"/>
            <w:tcMar>
              <w:top w:w="80" w:type="dxa"/>
              <w:start w:w="90" w:type="dxa"/>
              <w:bottom w:w="80" w:type="dxa"/>
              <w:end w:w="90" w:type="dxa"/>
            </w:tcMar>
            <w:vAlign w:val="center"/>
          </w:tcPr>
          <w:p>
            <w:pPr>
              <w:spacing w:after="0" w:before="0"/>
            </w:pPr>
            <w:r>
              <w:rPr>
                <w:rFonts w:ascii="Aptos" w:hAnsi="Aptos"/>
                <w:sz w:val="16"/>
              </w:rPr>
              <w:t>4 de 5 operativas</w:t>
            </w:r>
          </w:p>
        </w:tc>
        <w:tc>
          <w:tcPr>
            <w:tcW w:type="dxa" w:w="4195"/>
            <w:tcMar>
              <w:top w:w="80" w:type="dxa"/>
              <w:start w:w="90" w:type="dxa"/>
              <w:bottom w:w="80" w:type="dxa"/>
              <w:end w:w="90" w:type="dxa"/>
            </w:tcMar>
            <w:vAlign w:val="center"/>
          </w:tcPr>
          <w:p>
            <w:pPr>
              <w:spacing w:after="0" w:before="0"/>
            </w:pPr>
            <w:r>
              <w:rPr>
                <w:rFonts w:ascii="Aptos" w:hAnsi="Aptos"/>
                <w:sz w:val="16"/>
              </w:rPr>
              <w:t>La integración con el sistema legado de devoluciones presenta tres incidencias críticas abiertas.</w:t>
            </w:r>
          </w:p>
        </w:tc>
        <w:tc>
          <w:tcPr>
            <w:tcW w:type="dxa" w:w="2268"/>
            <w:tcMar>
              <w:top w:w="80" w:type="dxa"/>
              <w:start w:w="90" w:type="dxa"/>
              <w:bottom w:w="80" w:type="dxa"/>
              <w:end w:w="90" w:type="dxa"/>
            </w:tcMar>
            <w:vAlign w:val="center"/>
          </w:tcPr>
          <w:p>
            <w:pPr>
              <w:spacing w:after="0" w:before="0"/>
            </w:pPr>
            <w:r>
              <w:rPr>
                <w:rFonts w:ascii="Aptos" w:hAnsi="Aptos"/>
                <w:sz w:val="16"/>
              </w:rPr>
              <w:t>Parche del proveedor: 23/09; validación: 24-25/09.</w:t>
            </w:r>
          </w:p>
        </w:tc>
      </w:tr>
      <w:tr>
        <w:trPr>
          <w:cantSplit/>
        </w:trPr>
        <w:tc>
          <w:tcPr>
            <w:tcW w:type="dxa" w:w="1757"/>
            <w:tcMar>
              <w:top w:w="80" w:type="dxa"/>
              <w:start w:w="90" w:type="dxa"/>
              <w:bottom w:w="80" w:type="dxa"/>
              <w:end w:w="90" w:type="dxa"/>
            </w:tcMar>
            <w:vAlign w:val="center"/>
          </w:tcPr>
          <w:p>
            <w:pPr>
              <w:spacing w:after="0" w:before="0"/>
            </w:pPr>
            <w:r>
              <w:rPr>
                <w:rFonts w:ascii="Aptos" w:hAnsi="Aptos"/>
                <w:b/>
                <w:sz w:val="16"/>
              </w:rPr>
              <w:t>Pruebas de usuario</w:t>
            </w:r>
          </w:p>
        </w:tc>
        <w:tc>
          <w:tcPr>
            <w:tcW w:type="dxa" w:w="1191"/>
            <w:tcMar>
              <w:top w:w="80" w:type="dxa"/>
              <w:start w:w="90" w:type="dxa"/>
              <w:bottom w:w="80" w:type="dxa"/>
              <w:end w:w="90" w:type="dxa"/>
            </w:tcMar>
            <w:vAlign w:val="center"/>
          </w:tcPr>
          <w:p>
            <w:pPr>
              <w:spacing w:after="0" w:before="0"/>
            </w:pPr>
            <w:r>
              <w:rPr>
                <w:rFonts w:ascii="Aptos" w:hAnsi="Aptos"/>
                <w:sz w:val="16"/>
              </w:rPr>
              <w:t>En curso</w:t>
            </w:r>
          </w:p>
        </w:tc>
        <w:tc>
          <w:tcPr>
            <w:tcW w:type="dxa" w:w="1757"/>
            <w:tcMar>
              <w:top w:w="80" w:type="dxa"/>
              <w:start w:w="90" w:type="dxa"/>
              <w:bottom w:w="80" w:type="dxa"/>
              <w:end w:w="90" w:type="dxa"/>
            </w:tcMar>
            <w:vAlign w:val="center"/>
          </w:tcPr>
          <w:p>
            <w:pPr>
              <w:spacing w:after="0" w:before="0"/>
            </w:pPr>
            <w:r>
              <w:rPr>
                <w:rFonts w:ascii="Aptos" w:hAnsi="Aptos"/>
                <w:sz w:val="16"/>
              </w:rPr>
              <w:t>64 / 82 superadas</w:t>
            </w:r>
          </w:p>
        </w:tc>
        <w:tc>
          <w:tcPr>
            <w:tcW w:type="dxa" w:w="4195"/>
            <w:tcMar>
              <w:top w:w="80" w:type="dxa"/>
              <w:start w:w="90" w:type="dxa"/>
              <w:bottom w:w="80" w:type="dxa"/>
              <w:end w:w="90" w:type="dxa"/>
            </w:tcMar>
            <w:vAlign w:val="center"/>
          </w:tcPr>
          <w:p>
            <w:pPr>
              <w:spacing w:after="0" w:before="0"/>
            </w:pPr>
            <w:r>
              <w:rPr>
                <w:rFonts w:ascii="Aptos" w:hAnsi="Aptos"/>
                <w:sz w:val="16"/>
              </w:rPr>
              <w:t>11 escenarios fallidos y 7 pendientes. Los fallos no tienen todos el mismo impacto.</w:t>
            </w:r>
          </w:p>
        </w:tc>
        <w:tc>
          <w:tcPr>
            <w:tcW w:type="dxa" w:w="2268"/>
            <w:tcMar>
              <w:top w:w="80" w:type="dxa"/>
              <w:start w:w="90" w:type="dxa"/>
              <w:bottom w:w="80" w:type="dxa"/>
              <w:end w:w="90" w:type="dxa"/>
            </w:tcMar>
            <w:vAlign w:val="center"/>
          </w:tcPr>
          <w:p>
            <w:pPr>
              <w:spacing w:after="0" w:before="0"/>
            </w:pPr>
            <w:r>
              <w:rPr>
                <w:rFonts w:ascii="Aptos" w:hAnsi="Aptos"/>
                <w:sz w:val="16"/>
              </w:rPr>
              <w:t>Reejecución de escenarios críticos: 25/09.</w:t>
            </w:r>
          </w:p>
        </w:tc>
      </w:tr>
      <w:tr>
        <w:trPr>
          <w:cantSplit/>
        </w:trPr>
        <w:tc>
          <w:tcPr>
            <w:tcW w:type="dxa" w:w="1757"/>
            <w:tcMar>
              <w:top w:w="80" w:type="dxa"/>
              <w:start w:w="90" w:type="dxa"/>
              <w:bottom w:w="80" w:type="dxa"/>
              <w:end w:w="90" w:type="dxa"/>
            </w:tcMar>
            <w:vAlign w:val="center"/>
          </w:tcPr>
          <w:p>
            <w:pPr>
              <w:spacing w:after="0" w:before="0"/>
            </w:pPr>
            <w:r>
              <w:rPr>
                <w:rFonts w:ascii="Aptos" w:hAnsi="Aptos"/>
                <w:b/>
                <w:sz w:val="16"/>
              </w:rPr>
              <w:t>Formación</w:t>
            </w:r>
          </w:p>
        </w:tc>
        <w:tc>
          <w:tcPr>
            <w:tcW w:type="dxa" w:w="1191"/>
            <w:tcMar>
              <w:top w:w="80" w:type="dxa"/>
              <w:start w:w="90" w:type="dxa"/>
              <w:bottom w:w="80" w:type="dxa"/>
              <w:end w:w="90" w:type="dxa"/>
            </w:tcMar>
            <w:vAlign w:val="center"/>
          </w:tcPr>
          <w:p>
            <w:pPr>
              <w:spacing w:after="0" w:before="0"/>
            </w:pPr>
            <w:r>
              <w:rPr>
                <w:rFonts w:ascii="Aptos" w:hAnsi="Aptos"/>
                <w:sz w:val="16"/>
              </w:rPr>
              <w:t>En curso</w:t>
            </w:r>
          </w:p>
        </w:tc>
        <w:tc>
          <w:tcPr>
            <w:tcW w:type="dxa" w:w="1757"/>
            <w:tcMar>
              <w:top w:w="80" w:type="dxa"/>
              <w:start w:w="90" w:type="dxa"/>
              <w:bottom w:w="80" w:type="dxa"/>
              <w:end w:w="90" w:type="dxa"/>
            </w:tcMar>
            <w:vAlign w:val="center"/>
          </w:tcPr>
          <w:p>
            <w:pPr>
              <w:spacing w:after="0" w:before="0"/>
            </w:pPr>
            <w:r>
              <w:rPr>
                <w:rFonts w:ascii="Aptos" w:hAnsi="Aptos"/>
                <w:sz w:val="16"/>
              </w:rPr>
              <w:t>56 / 74 personas</w:t>
            </w:r>
          </w:p>
        </w:tc>
        <w:tc>
          <w:tcPr>
            <w:tcW w:type="dxa" w:w="4195"/>
            <w:tcMar>
              <w:top w:w="80" w:type="dxa"/>
              <w:start w:w="90" w:type="dxa"/>
              <w:bottom w:w="80" w:type="dxa"/>
              <w:end w:w="90" w:type="dxa"/>
            </w:tcMar>
            <w:vAlign w:val="center"/>
          </w:tcPr>
          <w:p>
            <w:pPr>
              <w:spacing w:after="0" w:before="0"/>
            </w:pPr>
            <w:r>
              <w:rPr>
                <w:rFonts w:ascii="Aptos" w:hAnsi="Aptos"/>
                <w:sz w:val="16"/>
              </w:rPr>
              <w:t>18 personas aún no han completado la formación inicial.</w:t>
            </w:r>
          </w:p>
        </w:tc>
        <w:tc>
          <w:tcPr>
            <w:tcW w:type="dxa" w:w="2268"/>
            <w:tcMar>
              <w:top w:w="80" w:type="dxa"/>
              <w:start w:w="90" w:type="dxa"/>
              <w:bottom w:w="80" w:type="dxa"/>
              <w:end w:w="90" w:type="dxa"/>
            </w:tcMar>
            <w:vAlign w:val="center"/>
          </w:tcPr>
          <w:p>
            <w:pPr>
              <w:spacing w:after="0" w:before="0"/>
            </w:pPr>
            <w:r>
              <w:rPr>
                <w:rFonts w:ascii="Aptos" w:hAnsi="Aptos"/>
                <w:sz w:val="16"/>
              </w:rPr>
              <w:t>Segunda sesión: 08/10.</w:t>
            </w:r>
          </w:p>
        </w:tc>
      </w:tr>
      <w:tr>
        <w:trPr>
          <w:cantSplit/>
        </w:trPr>
        <w:tc>
          <w:tcPr>
            <w:tcW w:type="dxa" w:w="1757"/>
            <w:tcMar>
              <w:top w:w="80" w:type="dxa"/>
              <w:start w:w="90" w:type="dxa"/>
              <w:bottom w:w="80" w:type="dxa"/>
              <w:end w:w="90" w:type="dxa"/>
            </w:tcMar>
            <w:vAlign w:val="center"/>
          </w:tcPr>
          <w:p>
            <w:pPr>
              <w:spacing w:after="0" w:before="0"/>
            </w:pPr>
            <w:r>
              <w:rPr>
                <w:rFonts w:ascii="Aptos" w:hAnsi="Aptos"/>
                <w:b/>
                <w:sz w:val="16"/>
              </w:rPr>
              <w:t>Preparación operativa</w:t>
            </w:r>
          </w:p>
        </w:tc>
        <w:tc>
          <w:tcPr>
            <w:tcW w:type="dxa" w:w="1191"/>
            <w:tcMar>
              <w:top w:w="80" w:type="dxa"/>
              <w:start w:w="90" w:type="dxa"/>
              <w:bottom w:w="80" w:type="dxa"/>
              <w:end w:w="90" w:type="dxa"/>
            </w:tcMar>
            <w:vAlign w:val="center"/>
          </w:tcPr>
          <w:p>
            <w:pPr>
              <w:spacing w:after="0" w:before="0"/>
            </w:pPr>
            <w:r>
              <w:rPr>
                <w:rFonts w:ascii="Aptos" w:hAnsi="Aptos"/>
                <w:sz w:val="16"/>
              </w:rPr>
              <w:t>En curso</w:t>
            </w:r>
          </w:p>
        </w:tc>
        <w:tc>
          <w:tcPr>
            <w:tcW w:type="dxa" w:w="1757"/>
            <w:tcMar>
              <w:top w:w="80" w:type="dxa"/>
              <w:start w:w="90" w:type="dxa"/>
              <w:bottom w:w="80" w:type="dxa"/>
              <w:end w:w="90" w:type="dxa"/>
            </w:tcMar>
            <w:vAlign w:val="center"/>
          </w:tcPr>
          <w:p>
            <w:pPr>
              <w:spacing w:after="0" w:before="0"/>
            </w:pPr>
            <w:r>
              <w:rPr>
                <w:rFonts w:ascii="Aptos" w:hAnsi="Aptos"/>
                <w:sz w:val="16"/>
              </w:rPr>
              <w:t>Sin porcentaje consolidado</w:t>
            </w:r>
          </w:p>
        </w:tc>
        <w:tc>
          <w:tcPr>
            <w:tcW w:type="dxa" w:w="4195"/>
            <w:tcMar>
              <w:top w:w="80" w:type="dxa"/>
              <w:start w:w="90" w:type="dxa"/>
              <w:bottom w:w="80" w:type="dxa"/>
              <w:end w:w="90" w:type="dxa"/>
            </w:tcMar>
            <w:vAlign w:val="center"/>
          </w:tcPr>
          <w:p>
            <w:pPr>
              <w:spacing w:after="0" w:before="0"/>
            </w:pPr>
            <w:r>
              <w:rPr>
                <w:rFonts w:ascii="Aptos" w:hAnsi="Aptos"/>
                <w:sz w:val="16"/>
              </w:rPr>
              <w:t>Procedimiento de soporte redactado. Queda pendiente la aprobación del protocolo de escalado.</w:t>
            </w:r>
          </w:p>
        </w:tc>
        <w:tc>
          <w:tcPr>
            <w:tcW w:type="dxa" w:w="2268"/>
            <w:tcMar>
              <w:top w:w="80" w:type="dxa"/>
              <w:start w:w="90" w:type="dxa"/>
              <w:bottom w:w="80" w:type="dxa"/>
              <w:end w:w="90" w:type="dxa"/>
            </w:tcMar>
            <w:vAlign w:val="center"/>
          </w:tcPr>
          <w:p>
            <w:pPr>
              <w:spacing w:after="0" w:before="0"/>
            </w:pPr>
            <w:r>
              <w:rPr>
                <w:rFonts w:ascii="Aptos" w:hAnsi="Aptos"/>
                <w:sz w:val="16"/>
              </w:rPr>
              <w:t>Revisión operativa: 02/10.</w:t>
            </w:r>
          </w:p>
        </w:tc>
      </w:tr>
    </w:tbl>
    <w:p>
      <w:pPr>
        <w:pStyle w:val="Heading2"/>
      </w:pPr>
      <w:r>
        <w:t>2.1 Migración de datos</w:t>
      </w:r>
    </w:p>
    <w:p>
      <w:pPr>
        <w:pStyle w:val="ListBullet"/>
        <w:spacing w:after="50"/>
      </w:pPr>
      <w:r>
        <w:t>El ritmo de carga ha mejorado durante la última semana, pero la validación avanza por debajo de la planificación inicial.</w:t>
      </w:r>
    </w:p>
    <w:p>
      <w:pPr>
        <w:pStyle w:val="ListBullet"/>
        <w:spacing w:after="50"/>
      </w:pPr>
      <w:r>
        <w:t>Los 320 registros con direcciones duplicadas deben revisarse manualmente antes de la carga definitiva.</w:t>
      </w:r>
    </w:p>
    <w:p>
      <w:pPr>
        <w:pStyle w:val="ListBullet"/>
        <w:spacing w:after="50"/>
      </w:pPr>
      <w:r>
        <w:t>El equipo de datos debe entregar el 22 de septiembre una previsión actualizada de finalización.</w:t>
      </w:r>
    </w:p>
    <w:p>
      <w:pPr>
        <w:pStyle w:val="ListBullet"/>
        <w:spacing w:after="50"/>
      </w:pPr>
      <w:r>
        <w:t>El informe no incluye una estimación validada del esfuerzo adicional necesario para completar la revisión manual.</w:t>
      </w:r>
    </w:p>
    <w:p>
      <w:pPr>
        <w:pStyle w:val="Heading2"/>
      </w:pPr>
      <w:r>
        <w:t>2.2 Integración con el sistema de devoluciones</w:t>
      </w:r>
    </w:p>
    <w:p>
      <w:pPr>
        <w:pStyle w:val="ListBullet"/>
        <w:spacing w:after="50"/>
      </w:pPr>
      <w:r>
        <w:t>Tres incidencias críticas impiden completar el flujo de alta y consulta de determinadas devoluciones.</w:t>
      </w:r>
    </w:p>
    <w:p>
      <w:pPr>
        <w:pStyle w:val="ListBullet"/>
        <w:spacing w:after="50"/>
      </w:pPr>
      <w:r>
        <w:t>El proveedor ha confirmado una actualización correctiva para el 23 de septiembre.</w:t>
      </w:r>
    </w:p>
    <w:p>
      <w:pPr>
        <w:pStyle w:val="ListBullet"/>
        <w:spacing w:after="50"/>
      </w:pPr>
      <w:r>
        <w:t>El equipo técnico realizará pruebas de validación los días 24 y 25 de septiembre.</w:t>
      </w:r>
    </w:p>
    <w:p>
      <w:pPr>
        <w:pStyle w:val="ListBullet"/>
        <w:spacing w:after="50"/>
      </w:pPr>
      <w:r>
        <w:t>A fecha de este informe no se ha confirmado que estas incidencias obliguen a retrasar la puesta en producción.</w:t>
      </w:r>
    </w:p>
    <w:p>
      <w:pPr>
        <w:pStyle w:val="Heading1"/>
        <w:pageBreakBefore/>
      </w:pPr>
      <w:r>
        <w:t>3. Riesgos, incidencias y cambios</w:t>
      </w:r>
    </w:p>
    <w:tbl>
      <w:tblPr>
        <w:tblStyle w:val="TableGrid"/>
        <w:tblW w:type="auto" w:w="0"/>
        <w:jc w:val="center"/>
        <w:tblLayout w:type="fixed"/>
        <w:tblLook w:firstColumn="1" w:firstRow="1" w:lastColumn="0" w:lastRow="0" w:noHBand="0" w:noVBand="1" w:val="04A0"/>
      </w:tblPr>
      <w:tblGrid>
        <w:gridCol w:w="1700"/>
        <w:gridCol w:w="1700"/>
        <w:gridCol w:w="1700"/>
        <w:gridCol w:w="1700"/>
        <w:gridCol w:w="1700"/>
        <w:gridCol w:w="1700"/>
      </w:tblGrid>
      <w:tr>
        <w:trPr>
          <w:tblHeader w:val="true"/>
          <w:cantSplit/>
        </w:trPr>
        <w:tc>
          <w:tcPr>
            <w:tcW w:type="dxa" w:w="737"/>
            <w:tcMar>
              <w:top w:w="80" w:type="dxa"/>
              <w:start w:w="90" w:type="dxa"/>
              <w:bottom w:w="80" w:type="dxa"/>
              <w:end w:w="90" w:type="dxa"/>
            </w:tcMar>
            <w:vAlign w:val="center"/>
            <w:shd w:fill="17365D"/>
          </w:tcPr>
          <w:p>
            <w:pPr>
              <w:spacing w:after="0" w:before="0"/>
            </w:pPr>
            <w:r>
              <w:rPr>
                <w:rFonts w:ascii="Aptos" w:hAnsi="Aptos"/>
                <w:b/>
                <w:color w:val="FFFFFF"/>
                <w:sz w:val="15"/>
              </w:rPr>
              <w:t>ID</w:t>
            </w:r>
          </w:p>
        </w:tc>
        <w:tc>
          <w:tcPr>
            <w:tcW w:type="dxa" w:w="1191"/>
            <w:tcMar>
              <w:top w:w="80" w:type="dxa"/>
              <w:start w:w="90" w:type="dxa"/>
              <w:bottom w:w="80" w:type="dxa"/>
              <w:end w:w="90" w:type="dxa"/>
            </w:tcMar>
            <w:vAlign w:val="center"/>
            <w:shd w:fill="17365D"/>
          </w:tcPr>
          <w:p>
            <w:pPr>
              <w:spacing w:after="0" w:before="0"/>
            </w:pPr>
            <w:r>
              <w:rPr>
                <w:rFonts w:ascii="Aptos" w:hAnsi="Aptos"/>
                <w:b/>
                <w:color w:val="FFFFFF"/>
                <w:sz w:val="15"/>
              </w:rPr>
              <w:t>Tipo</w:t>
            </w:r>
          </w:p>
        </w:tc>
        <w:tc>
          <w:tcPr>
            <w:tcW w:type="dxa" w:w="4025"/>
            <w:tcMar>
              <w:top w:w="80" w:type="dxa"/>
              <w:start w:w="90" w:type="dxa"/>
              <w:bottom w:w="80" w:type="dxa"/>
              <w:end w:w="90" w:type="dxa"/>
            </w:tcMar>
            <w:vAlign w:val="center"/>
            <w:shd w:fill="17365D"/>
          </w:tcPr>
          <w:p>
            <w:pPr>
              <w:spacing w:after="0" w:before="0"/>
            </w:pPr>
            <w:r>
              <w:rPr>
                <w:rFonts w:ascii="Aptos" w:hAnsi="Aptos"/>
                <w:b/>
                <w:color w:val="FFFFFF"/>
                <w:sz w:val="15"/>
              </w:rPr>
              <w:t>Descripción</w:t>
            </w:r>
          </w:p>
        </w:tc>
        <w:tc>
          <w:tcPr>
            <w:tcW w:type="dxa" w:w="2948"/>
            <w:tcMar>
              <w:top w:w="80" w:type="dxa"/>
              <w:start w:w="90" w:type="dxa"/>
              <w:bottom w:w="80" w:type="dxa"/>
              <w:end w:w="90" w:type="dxa"/>
            </w:tcMar>
            <w:vAlign w:val="center"/>
            <w:shd w:fill="17365D"/>
          </w:tcPr>
          <w:p>
            <w:pPr>
              <w:spacing w:after="0" w:before="0"/>
            </w:pPr>
            <w:r>
              <w:rPr>
                <w:rFonts w:ascii="Aptos" w:hAnsi="Aptos"/>
                <w:b/>
                <w:color w:val="FFFFFF"/>
                <w:sz w:val="15"/>
              </w:rPr>
              <w:t>Situación</w:t>
            </w:r>
          </w:p>
        </w:tc>
        <w:tc>
          <w:tcPr>
            <w:tcW w:type="dxa" w:w="1757"/>
            <w:tcMar>
              <w:top w:w="80" w:type="dxa"/>
              <w:start w:w="90" w:type="dxa"/>
              <w:bottom w:w="80" w:type="dxa"/>
              <w:end w:w="90" w:type="dxa"/>
            </w:tcMar>
            <w:vAlign w:val="center"/>
            <w:shd w:fill="17365D"/>
          </w:tcPr>
          <w:p>
            <w:pPr>
              <w:spacing w:after="0" w:before="0"/>
            </w:pPr>
            <w:r>
              <w:rPr>
                <w:rFonts w:ascii="Aptos" w:hAnsi="Aptos"/>
                <w:b/>
                <w:color w:val="FFFFFF"/>
                <w:sz w:val="15"/>
              </w:rPr>
              <w:t>Responsable</w:t>
            </w:r>
          </w:p>
        </w:tc>
        <w:tc>
          <w:tcPr>
            <w:tcW w:type="dxa" w:w="1474"/>
            <w:tcMar>
              <w:top w:w="80" w:type="dxa"/>
              <w:start w:w="90" w:type="dxa"/>
              <w:bottom w:w="80" w:type="dxa"/>
              <w:end w:w="90" w:type="dxa"/>
            </w:tcMar>
            <w:vAlign w:val="center"/>
            <w:shd w:fill="17365D"/>
          </w:tcPr>
          <w:p>
            <w:pPr>
              <w:spacing w:after="0" w:before="0"/>
            </w:pPr>
            <w:r>
              <w:rPr>
                <w:rFonts w:ascii="Aptos" w:hAnsi="Aptos"/>
                <w:b/>
                <w:color w:val="FFFFFF"/>
                <w:sz w:val="15"/>
              </w:rPr>
              <w:t>Fecha / revisión</w:t>
            </w:r>
          </w:p>
        </w:tc>
      </w:tr>
      <w:tr>
        <w:trPr>
          <w:cantSplit/>
        </w:trPr>
        <w:tc>
          <w:tcPr>
            <w:tcW w:type="dxa" w:w="737"/>
            <w:tcMar>
              <w:top w:w="80" w:type="dxa"/>
              <w:start w:w="90" w:type="dxa"/>
              <w:bottom w:w="80" w:type="dxa"/>
              <w:end w:w="90" w:type="dxa"/>
            </w:tcMar>
            <w:vAlign w:val="center"/>
          </w:tcPr>
          <w:p>
            <w:pPr>
              <w:spacing w:after="0" w:before="0"/>
            </w:pPr>
            <w:r>
              <w:rPr>
                <w:rFonts w:ascii="Aptos" w:hAnsi="Aptos"/>
                <w:b/>
                <w:sz w:val="15"/>
              </w:rPr>
              <w:t>R-03</w:t>
            </w:r>
          </w:p>
        </w:tc>
        <w:tc>
          <w:tcPr>
            <w:tcW w:type="dxa" w:w="1191"/>
            <w:tcMar>
              <w:top w:w="80" w:type="dxa"/>
              <w:start w:w="90" w:type="dxa"/>
              <w:bottom w:w="80" w:type="dxa"/>
              <w:end w:w="90" w:type="dxa"/>
            </w:tcMar>
            <w:vAlign w:val="center"/>
          </w:tcPr>
          <w:p>
            <w:pPr>
              <w:spacing w:after="0" w:before="0"/>
            </w:pPr>
            <w:r>
              <w:rPr>
                <w:rFonts w:ascii="Aptos" w:hAnsi="Aptos"/>
                <w:sz w:val="15"/>
              </w:rPr>
              <w:t>Riesgo</w:t>
            </w:r>
          </w:p>
        </w:tc>
        <w:tc>
          <w:tcPr>
            <w:tcW w:type="dxa" w:w="4025"/>
            <w:tcMar>
              <w:top w:w="80" w:type="dxa"/>
              <w:start w:w="90" w:type="dxa"/>
              <w:bottom w:w="80" w:type="dxa"/>
              <w:end w:w="90" w:type="dxa"/>
            </w:tcMar>
            <w:vAlign w:val="center"/>
          </w:tcPr>
          <w:p>
            <w:pPr>
              <w:spacing w:after="0" w:before="0"/>
            </w:pPr>
            <w:r>
              <w:rPr>
                <w:rFonts w:ascii="Aptos" w:hAnsi="Aptos"/>
                <w:sz w:val="15"/>
              </w:rPr>
              <w:t>La validación de datos puede no finalizar con margen suficiente para las pruebas finales.</w:t>
            </w:r>
          </w:p>
        </w:tc>
        <w:tc>
          <w:tcPr>
            <w:tcW w:type="dxa" w:w="2948"/>
            <w:tcMar>
              <w:top w:w="80" w:type="dxa"/>
              <w:start w:w="90" w:type="dxa"/>
              <w:bottom w:w="80" w:type="dxa"/>
              <w:end w:w="90" w:type="dxa"/>
            </w:tcMar>
            <w:vAlign w:val="center"/>
          </w:tcPr>
          <w:p>
            <w:pPr>
              <w:spacing w:after="0" w:before="0"/>
            </w:pPr>
            <w:r>
              <w:rPr>
                <w:rFonts w:ascii="Aptos" w:hAnsi="Aptos"/>
                <w:sz w:val="15"/>
              </w:rPr>
              <w:t>Abierto. Pendiente de nueva previsión del equipo de datos.</w:t>
            </w:r>
          </w:p>
        </w:tc>
        <w:tc>
          <w:tcPr>
            <w:tcW w:type="dxa" w:w="1757"/>
            <w:tcMar>
              <w:top w:w="80" w:type="dxa"/>
              <w:start w:w="90" w:type="dxa"/>
              <w:bottom w:w="80" w:type="dxa"/>
              <w:end w:w="90" w:type="dxa"/>
            </w:tcMar>
            <w:vAlign w:val="center"/>
          </w:tcPr>
          <w:p>
            <w:pPr>
              <w:spacing w:after="0" w:before="0"/>
            </w:pPr>
            <w:r>
              <w:rPr>
                <w:rFonts w:ascii="Aptos" w:hAnsi="Aptos"/>
                <w:sz w:val="15"/>
              </w:rPr>
              <w:t>Responsable de Datos</w:t>
            </w:r>
          </w:p>
        </w:tc>
        <w:tc>
          <w:tcPr>
            <w:tcW w:type="dxa" w:w="1474"/>
            <w:tcMar>
              <w:top w:w="80" w:type="dxa"/>
              <w:start w:w="90" w:type="dxa"/>
              <w:bottom w:w="80" w:type="dxa"/>
              <w:end w:w="90" w:type="dxa"/>
            </w:tcMar>
            <w:vAlign w:val="center"/>
          </w:tcPr>
          <w:p>
            <w:pPr>
              <w:spacing w:after="0" w:before="0"/>
            </w:pPr>
            <w:r>
              <w:rPr>
                <w:rFonts w:ascii="Aptos" w:hAnsi="Aptos"/>
                <w:sz w:val="15"/>
              </w:rPr>
              <w:t>22/09</w:t>
            </w:r>
          </w:p>
        </w:tc>
      </w:tr>
      <w:tr>
        <w:trPr>
          <w:cantSplit/>
        </w:trPr>
        <w:tc>
          <w:tcPr>
            <w:tcW w:type="dxa" w:w="737"/>
            <w:tcMar>
              <w:top w:w="80" w:type="dxa"/>
              <w:start w:w="90" w:type="dxa"/>
              <w:bottom w:w="80" w:type="dxa"/>
              <w:end w:w="90" w:type="dxa"/>
            </w:tcMar>
            <w:vAlign w:val="center"/>
          </w:tcPr>
          <w:p>
            <w:pPr>
              <w:spacing w:after="0" w:before="0"/>
            </w:pPr>
            <w:r>
              <w:rPr>
                <w:rFonts w:ascii="Aptos" w:hAnsi="Aptos"/>
                <w:b/>
                <w:sz w:val="15"/>
              </w:rPr>
              <w:t>I-17</w:t>
            </w:r>
          </w:p>
        </w:tc>
        <w:tc>
          <w:tcPr>
            <w:tcW w:type="dxa" w:w="1191"/>
            <w:tcMar>
              <w:top w:w="80" w:type="dxa"/>
              <w:start w:w="90" w:type="dxa"/>
              <w:bottom w:w="80" w:type="dxa"/>
              <w:end w:w="90" w:type="dxa"/>
            </w:tcMar>
            <w:vAlign w:val="center"/>
          </w:tcPr>
          <w:p>
            <w:pPr>
              <w:spacing w:after="0" w:before="0"/>
            </w:pPr>
            <w:r>
              <w:rPr>
                <w:rFonts w:ascii="Aptos" w:hAnsi="Aptos"/>
                <w:sz w:val="15"/>
              </w:rPr>
              <w:t>Incidencia crítica</w:t>
            </w:r>
          </w:p>
        </w:tc>
        <w:tc>
          <w:tcPr>
            <w:tcW w:type="dxa" w:w="4025"/>
            <w:tcMar>
              <w:top w:w="80" w:type="dxa"/>
              <w:start w:w="90" w:type="dxa"/>
              <w:bottom w:w="80" w:type="dxa"/>
              <w:end w:w="90" w:type="dxa"/>
            </w:tcMar>
            <w:vAlign w:val="center"/>
          </w:tcPr>
          <w:p>
            <w:pPr>
              <w:spacing w:after="0" w:before="0"/>
            </w:pPr>
            <w:r>
              <w:rPr>
                <w:rFonts w:ascii="Aptos" w:hAnsi="Aptos"/>
                <w:sz w:val="15"/>
              </w:rPr>
              <w:t>Errores en el flujo de devoluciones al consultar información del sistema legado.</w:t>
            </w:r>
          </w:p>
        </w:tc>
        <w:tc>
          <w:tcPr>
            <w:tcW w:type="dxa" w:w="2948"/>
            <w:tcMar>
              <w:top w:w="80" w:type="dxa"/>
              <w:start w:w="90" w:type="dxa"/>
              <w:bottom w:w="80" w:type="dxa"/>
              <w:end w:w="90" w:type="dxa"/>
            </w:tcMar>
            <w:vAlign w:val="center"/>
          </w:tcPr>
          <w:p>
            <w:pPr>
              <w:spacing w:after="0" w:before="0"/>
            </w:pPr>
            <w:r>
              <w:rPr>
                <w:rFonts w:ascii="Aptos" w:hAnsi="Aptos"/>
                <w:sz w:val="15"/>
              </w:rPr>
              <w:t>Abierta. Parche comprometido por proveedor.</w:t>
            </w:r>
          </w:p>
        </w:tc>
        <w:tc>
          <w:tcPr>
            <w:tcW w:type="dxa" w:w="1757"/>
            <w:tcMar>
              <w:top w:w="80" w:type="dxa"/>
              <w:start w:w="90" w:type="dxa"/>
              <w:bottom w:w="80" w:type="dxa"/>
              <w:end w:w="90" w:type="dxa"/>
            </w:tcMar>
            <w:vAlign w:val="center"/>
          </w:tcPr>
          <w:p>
            <w:pPr>
              <w:spacing w:after="0" w:before="0"/>
            </w:pPr>
            <w:r>
              <w:rPr>
                <w:rFonts w:ascii="Aptos" w:hAnsi="Aptos"/>
                <w:sz w:val="15"/>
              </w:rPr>
              <w:t>Proveedor / Responsable técnico</w:t>
            </w:r>
          </w:p>
        </w:tc>
        <w:tc>
          <w:tcPr>
            <w:tcW w:type="dxa" w:w="1474"/>
            <w:tcMar>
              <w:top w:w="80" w:type="dxa"/>
              <w:start w:w="90" w:type="dxa"/>
              <w:bottom w:w="80" w:type="dxa"/>
              <w:end w:w="90" w:type="dxa"/>
            </w:tcMar>
            <w:vAlign w:val="center"/>
          </w:tcPr>
          <w:p>
            <w:pPr>
              <w:spacing w:after="0" w:before="0"/>
            </w:pPr>
            <w:r>
              <w:rPr>
                <w:rFonts w:ascii="Aptos" w:hAnsi="Aptos"/>
                <w:sz w:val="15"/>
              </w:rPr>
              <w:t>23-25/09</w:t>
            </w:r>
          </w:p>
        </w:tc>
      </w:tr>
      <w:tr>
        <w:trPr>
          <w:cantSplit/>
        </w:trPr>
        <w:tc>
          <w:tcPr>
            <w:tcW w:type="dxa" w:w="737"/>
            <w:tcMar>
              <w:top w:w="80" w:type="dxa"/>
              <w:start w:w="90" w:type="dxa"/>
              <w:bottom w:w="80" w:type="dxa"/>
              <w:end w:w="90" w:type="dxa"/>
            </w:tcMar>
            <w:vAlign w:val="center"/>
          </w:tcPr>
          <w:p>
            <w:pPr>
              <w:spacing w:after="0" w:before="0"/>
            </w:pPr>
            <w:r>
              <w:rPr>
                <w:rFonts w:ascii="Aptos" w:hAnsi="Aptos"/>
                <w:b/>
                <w:sz w:val="15"/>
              </w:rPr>
              <w:t>R-05</w:t>
            </w:r>
          </w:p>
        </w:tc>
        <w:tc>
          <w:tcPr>
            <w:tcW w:type="dxa" w:w="1191"/>
            <w:tcMar>
              <w:top w:w="80" w:type="dxa"/>
              <w:start w:w="90" w:type="dxa"/>
              <w:bottom w:w="80" w:type="dxa"/>
              <w:end w:w="90" w:type="dxa"/>
            </w:tcMar>
            <w:vAlign w:val="center"/>
          </w:tcPr>
          <w:p>
            <w:pPr>
              <w:spacing w:after="0" w:before="0"/>
            </w:pPr>
            <w:r>
              <w:rPr>
                <w:rFonts w:ascii="Aptos" w:hAnsi="Aptos"/>
                <w:sz w:val="15"/>
              </w:rPr>
              <w:t>Riesgo</w:t>
            </w:r>
          </w:p>
        </w:tc>
        <w:tc>
          <w:tcPr>
            <w:tcW w:type="dxa" w:w="4025"/>
            <w:tcMar>
              <w:top w:w="80" w:type="dxa"/>
              <w:start w:w="90" w:type="dxa"/>
              <w:bottom w:w="80" w:type="dxa"/>
              <w:end w:w="90" w:type="dxa"/>
            </w:tcMar>
            <w:vAlign w:val="center"/>
          </w:tcPr>
          <w:p>
            <w:pPr>
              <w:spacing w:after="0" w:before="0"/>
            </w:pPr>
            <w:r>
              <w:rPr>
                <w:rFonts w:ascii="Aptos" w:hAnsi="Aptos"/>
                <w:sz w:val="15"/>
              </w:rPr>
              <w:t>La formación de usuarios clave puede quedar demasiado próxima a la puesta en producción.</w:t>
            </w:r>
          </w:p>
        </w:tc>
        <w:tc>
          <w:tcPr>
            <w:tcW w:type="dxa" w:w="2948"/>
            <w:tcMar>
              <w:top w:w="80" w:type="dxa"/>
              <w:start w:w="90" w:type="dxa"/>
              <w:bottom w:w="80" w:type="dxa"/>
              <w:end w:w="90" w:type="dxa"/>
            </w:tcMar>
            <w:vAlign w:val="center"/>
          </w:tcPr>
          <w:p>
            <w:pPr>
              <w:spacing w:after="0" w:before="0"/>
            </w:pPr>
            <w:r>
              <w:rPr>
                <w:rFonts w:ascii="Aptos" w:hAnsi="Aptos"/>
                <w:sz w:val="15"/>
              </w:rPr>
              <w:t>Abierto. Segunda sesión prevista.</w:t>
            </w:r>
          </w:p>
        </w:tc>
        <w:tc>
          <w:tcPr>
            <w:tcW w:type="dxa" w:w="1757"/>
            <w:tcMar>
              <w:top w:w="80" w:type="dxa"/>
              <w:start w:w="90" w:type="dxa"/>
              <w:bottom w:w="80" w:type="dxa"/>
              <w:end w:w="90" w:type="dxa"/>
            </w:tcMar>
            <w:vAlign w:val="center"/>
          </w:tcPr>
          <w:p>
            <w:pPr>
              <w:spacing w:after="0" w:before="0"/>
            </w:pPr>
            <w:r>
              <w:rPr>
                <w:rFonts w:ascii="Aptos" w:hAnsi="Aptos"/>
                <w:sz w:val="15"/>
              </w:rPr>
              <w:t>RR. HH. / Proyecto</w:t>
            </w:r>
          </w:p>
        </w:tc>
        <w:tc>
          <w:tcPr>
            <w:tcW w:type="dxa" w:w="1474"/>
            <w:tcMar>
              <w:top w:w="80" w:type="dxa"/>
              <w:start w:w="90" w:type="dxa"/>
              <w:bottom w:w="80" w:type="dxa"/>
              <w:end w:w="90" w:type="dxa"/>
            </w:tcMar>
            <w:vAlign w:val="center"/>
          </w:tcPr>
          <w:p>
            <w:pPr>
              <w:spacing w:after="0" w:before="0"/>
            </w:pPr>
            <w:r>
              <w:rPr>
                <w:rFonts w:ascii="Aptos" w:hAnsi="Aptos"/>
                <w:sz w:val="15"/>
              </w:rPr>
              <w:t>08/10</w:t>
            </w:r>
          </w:p>
        </w:tc>
      </w:tr>
      <w:tr>
        <w:trPr>
          <w:cantSplit/>
        </w:trPr>
        <w:tc>
          <w:tcPr>
            <w:tcW w:type="dxa" w:w="737"/>
            <w:tcMar>
              <w:top w:w="80" w:type="dxa"/>
              <w:start w:w="90" w:type="dxa"/>
              <w:bottom w:w="80" w:type="dxa"/>
              <w:end w:w="90" w:type="dxa"/>
            </w:tcMar>
            <w:vAlign w:val="center"/>
          </w:tcPr>
          <w:p>
            <w:pPr>
              <w:spacing w:after="0" w:before="0"/>
            </w:pPr>
            <w:r>
              <w:rPr>
                <w:rFonts w:ascii="Aptos" w:hAnsi="Aptos"/>
                <w:b/>
                <w:sz w:val="15"/>
              </w:rPr>
              <w:t>R-06</w:t>
            </w:r>
          </w:p>
        </w:tc>
        <w:tc>
          <w:tcPr>
            <w:tcW w:type="dxa" w:w="1191"/>
            <w:tcMar>
              <w:top w:w="80" w:type="dxa"/>
              <w:start w:w="90" w:type="dxa"/>
              <w:bottom w:w="80" w:type="dxa"/>
              <w:end w:w="90" w:type="dxa"/>
            </w:tcMar>
            <w:vAlign w:val="center"/>
          </w:tcPr>
          <w:p>
            <w:pPr>
              <w:spacing w:after="0" w:before="0"/>
            </w:pPr>
            <w:r>
              <w:rPr>
                <w:rFonts w:ascii="Aptos" w:hAnsi="Aptos"/>
                <w:sz w:val="15"/>
              </w:rPr>
              <w:t>Riesgo</w:t>
            </w:r>
          </w:p>
        </w:tc>
        <w:tc>
          <w:tcPr>
            <w:tcW w:type="dxa" w:w="4025"/>
            <w:tcMar>
              <w:top w:w="80" w:type="dxa"/>
              <w:start w:w="90" w:type="dxa"/>
              <w:bottom w:w="80" w:type="dxa"/>
              <w:end w:w="90" w:type="dxa"/>
            </w:tcMar>
            <w:vAlign w:val="center"/>
          </w:tcPr>
          <w:p>
            <w:pPr>
              <w:spacing w:after="0" w:before="0"/>
            </w:pPr>
            <w:r>
              <w:rPr>
                <w:rFonts w:ascii="Aptos" w:hAnsi="Aptos"/>
                <w:sz w:val="15"/>
              </w:rPr>
              <w:t>El coste final puede aumentar si se aprueba CR-09.</w:t>
            </w:r>
          </w:p>
        </w:tc>
        <w:tc>
          <w:tcPr>
            <w:tcW w:type="dxa" w:w="2948"/>
            <w:tcMar>
              <w:top w:w="80" w:type="dxa"/>
              <w:start w:w="90" w:type="dxa"/>
              <w:bottom w:w="80" w:type="dxa"/>
              <w:end w:w="90" w:type="dxa"/>
            </w:tcMar>
            <w:vAlign w:val="center"/>
          </w:tcPr>
          <w:p>
            <w:pPr>
              <w:spacing w:after="0" w:before="0"/>
            </w:pPr>
            <w:r>
              <w:rPr>
                <w:rFonts w:ascii="Aptos" w:hAnsi="Aptos"/>
                <w:sz w:val="15"/>
              </w:rPr>
              <w:t>Abierto. No existe previsión final validada.</w:t>
            </w:r>
          </w:p>
        </w:tc>
        <w:tc>
          <w:tcPr>
            <w:tcW w:type="dxa" w:w="1757"/>
            <w:tcMar>
              <w:top w:w="80" w:type="dxa"/>
              <w:start w:w="90" w:type="dxa"/>
              <w:bottom w:w="80" w:type="dxa"/>
              <w:end w:w="90" w:type="dxa"/>
            </w:tcMar>
            <w:vAlign w:val="center"/>
          </w:tcPr>
          <w:p>
            <w:pPr>
              <w:spacing w:after="0" w:before="0"/>
            </w:pPr>
            <w:r>
              <w:rPr>
                <w:rFonts w:ascii="Aptos" w:hAnsi="Aptos"/>
                <w:sz w:val="15"/>
              </w:rPr>
              <w:t>Dirección de Proyecto</w:t>
            </w:r>
          </w:p>
        </w:tc>
        <w:tc>
          <w:tcPr>
            <w:tcW w:type="dxa" w:w="1474"/>
            <w:tcMar>
              <w:top w:w="80" w:type="dxa"/>
              <w:start w:w="90" w:type="dxa"/>
              <w:bottom w:w="80" w:type="dxa"/>
              <w:end w:w="90" w:type="dxa"/>
            </w:tcMar>
            <w:vAlign w:val="center"/>
          </w:tcPr>
          <w:p>
            <w:pPr>
              <w:spacing w:after="0" w:before="0"/>
            </w:pPr>
            <w:r>
              <w:rPr>
                <w:rFonts w:ascii="Aptos" w:hAnsi="Aptos"/>
                <w:sz w:val="15"/>
              </w:rPr>
              <w:t>Pendiente de decisión</w:t>
            </w:r>
          </w:p>
        </w:tc>
      </w:tr>
    </w:tbl>
    <w:p>
      <w:pPr>
        <w:pStyle w:val="Heading2"/>
      </w:pPr>
      <w:r>
        <w:t>3.1 Solicitudes de cambio</w:t>
      </w:r>
    </w:p>
    <w:tbl>
      <w:tblPr>
        <w:tblStyle w:val="TableGrid"/>
        <w:tblW w:type="auto" w:w="0"/>
        <w:jc w:val="center"/>
        <w:tblLayout w:type="fixed"/>
        <w:tblLook w:firstColumn="1" w:firstRow="1" w:lastColumn="0" w:lastRow="0" w:noHBand="0" w:noVBand="1" w:val="04A0"/>
      </w:tblPr>
      <w:tblGrid>
        <w:gridCol w:w="2040"/>
        <w:gridCol w:w="2040"/>
        <w:gridCol w:w="2040"/>
        <w:gridCol w:w="2040"/>
        <w:gridCol w:w="2040"/>
      </w:tblGrid>
      <w:tr>
        <w:trPr>
          <w:tblHeader w:val="true"/>
          <w:cantSplit/>
        </w:trPr>
        <w:tc>
          <w:tcPr>
            <w:tcW w:type="dxa" w:w="2040"/>
            <w:tcMar>
              <w:top w:w="80" w:type="dxa"/>
              <w:start w:w="90" w:type="dxa"/>
              <w:bottom w:w="80" w:type="dxa"/>
              <w:end w:w="90" w:type="dxa"/>
            </w:tcMar>
            <w:vAlign w:val="center"/>
            <w:shd w:fill="17365D"/>
          </w:tcPr>
          <w:p>
            <w:pPr>
              <w:spacing w:after="0" w:before="0"/>
            </w:pPr>
            <w:r>
              <w:rPr>
                <w:rFonts w:ascii="Aptos" w:hAnsi="Aptos"/>
                <w:b/>
                <w:color w:val="FFFFFF"/>
                <w:sz w:val="16"/>
              </w:rPr>
              <w:t>Cambio</w:t>
            </w:r>
          </w:p>
        </w:tc>
        <w:tc>
          <w:tcPr>
            <w:tcW w:type="dxa" w:w="2040"/>
            <w:tcMar>
              <w:top w:w="80" w:type="dxa"/>
              <w:start w:w="90" w:type="dxa"/>
              <w:bottom w:w="80" w:type="dxa"/>
              <w:end w:w="90" w:type="dxa"/>
            </w:tcMar>
            <w:vAlign w:val="center"/>
            <w:shd w:fill="17365D"/>
          </w:tcPr>
          <w:p>
            <w:pPr>
              <w:spacing w:after="0" w:before="0"/>
            </w:pPr>
            <w:r>
              <w:rPr>
                <w:rFonts w:ascii="Aptos" w:hAnsi="Aptos"/>
                <w:b/>
                <w:color w:val="FFFFFF"/>
                <w:sz w:val="16"/>
              </w:rPr>
              <w:t>Descripción</w:t>
            </w:r>
          </w:p>
        </w:tc>
        <w:tc>
          <w:tcPr>
            <w:tcW w:type="dxa" w:w="2040"/>
            <w:tcMar>
              <w:top w:w="80" w:type="dxa"/>
              <w:start w:w="90" w:type="dxa"/>
              <w:bottom w:w="80" w:type="dxa"/>
              <w:end w:w="90" w:type="dxa"/>
            </w:tcMar>
            <w:vAlign w:val="center"/>
            <w:shd w:fill="17365D"/>
          </w:tcPr>
          <w:p>
            <w:pPr>
              <w:spacing w:after="0" w:before="0"/>
            </w:pPr>
            <w:r>
              <w:rPr>
                <w:rFonts w:ascii="Aptos" w:hAnsi="Aptos"/>
                <w:b/>
                <w:color w:val="FFFFFF"/>
                <w:sz w:val="16"/>
              </w:rPr>
              <w:t>Estimación proveedor</w:t>
            </w:r>
          </w:p>
        </w:tc>
        <w:tc>
          <w:tcPr>
            <w:tcW w:type="dxa" w:w="2040"/>
            <w:tcMar>
              <w:top w:w="80" w:type="dxa"/>
              <w:start w:w="90" w:type="dxa"/>
              <w:bottom w:w="80" w:type="dxa"/>
              <w:end w:w="90" w:type="dxa"/>
            </w:tcMar>
            <w:vAlign w:val="center"/>
            <w:shd w:fill="17365D"/>
          </w:tcPr>
          <w:p>
            <w:pPr>
              <w:spacing w:after="0" w:before="0"/>
            </w:pPr>
            <w:r>
              <w:rPr>
                <w:rFonts w:ascii="Aptos" w:hAnsi="Aptos"/>
                <w:b/>
                <w:color w:val="FFFFFF"/>
                <w:sz w:val="16"/>
              </w:rPr>
              <w:t>Estado</w:t>
            </w:r>
          </w:p>
        </w:tc>
        <w:tc>
          <w:tcPr>
            <w:tcW w:type="dxa" w:w="2040"/>
            <w:tcMar>
              <w:top w:w="80" w:type="dxa"/>
              <w:start w:w="90" w:type="dxa"/>
              <w:bottom w:w="80" w:type="dxa"/>
              <w:end w:w="90" w:type="dxa"/>
            </w:tcMar>
            <w:vAlign w:val="center"/>
            <w:shd w:fill="17365D"/>
          </w:tcPr>
          <w:p>
            <w:pPr>
              <w:spacing w:after="0" w:before="0"/>
            </w:pPr>
            <w:r>
              <w:rPr>
                <w:rFonts w:ascii="Aptos" w:hAnsi="Aptos"/>
                <w:b/>
                <w:color w:val="FFFFFF"/>
                <w:sz w:val="16"/>
              </w:rPr>
              <w:t>Impacto declarado</w:t>
            </w:r>
          </w:p>
        </w:tc>
      </w:tr>
      <w:tr>
        <w:trPr>
          <w:cantSplit/>
        </w:trPr>
        <w:tc>
          <w:tcPr>
            <w:tcW w:type="dxa" w:w="2040"/>
            <w:tcMar>
              <w:top w:w="80" w:type="dxa"/>
              <w:start w:w="90" w:type="dxa"/>
              <w:bottom w:w="80" w:type="dxa"/>
              <w:end w:w="90" w:type="dxa"/>
            </w:tcMar>
            <w:vAlign w:val="center"/>
          </w:tcPr>
          <w:p>
            <w:pPr>
              <w:spacing w:after="0" w:before="0"/>
            </w:pPr>
            <w:r>
              <w:rPr>
                <w:rFonts w:ascii="Aptos" w:hAnsi="Aptos"/>
                <w:b/>
                <w:sz w:val="16"/>
              </w:rPr>
              <w:t>CR-07</w:t>
            </w:r>
          </w:p>
        </w:tc>
        <w:tc>
          <w:tcPr>
            <w:tcW w:type="dxa" w:w="2040"/>
            <w:tcMar>
              <w:top w:w="80" w:type="dxa"/>
              <w:start w:w="90" w:type="dxa"/>
              <w:bottom w:w="80" w:type="dxa"/>
              <w:end w:w="90" w:type="dxa"/>
            </w:tcMar>
            <w:vAlign w:val="center"/>
          </w:tcPr>
          <w:p>
            <w:pPr>
              <w:spacing w:after="0" w:before="0"/>
            </w:pPr>
            <w:r>
              <w:rPr>
                <w:rFonts w:ascii="Aptos" w:hAnsi="Aptos"/>
                <w:sz w:val="16"/>
              </w:rPr>
              <w:t>Nuevo filtro de segmentación en el panel de supervisión.</w:t>
            </w:r>
          </w:p>
        </w:tc>
        <w:tc>
          <w:tcPr>
            <w:tcW w:type="dxa" w:w="2040"/>
            <w:tcMar>
              <w:top w:w="80" w:type="dxa"/>
              <w:start w:w="90" w:type="dxa"/>
              <w:bottom w:w="80" w:type="dxa"/>
              <w:end w:w="90" w:type="dxa"/>
            </w:tcMar>
            <w:vAlign w:val="center"/>
          </w:tcPr>
          <w:p>
            <w:pPr>
              <w:spacing w:after="0" w:before="0"/>
            </w:pPr>
            <w:r>
              <w:rPr>
                <w:rFonts w:ascii="Aptos" w:hAnsi="Aptos"/>
                <w:sz w:val="16"/>
              </w:rPr>
              <w:t>12.000 €</w:t>
            </w:r>
          </w:p>
        </w:tc>
        <w:tc>
          <w:tcPr>
            <w:tcW w:type="dxa" w:w="2040"/>
            <w:tcMar>
              <w:top w:w="80" w:type="dxa"/>
              <w:start w:w="90" w:type="dxa"/>
              <w:bottom w:w="80" w:type="dxa"/>
              <w:end w:w="90" w:type="dxa"/>
            </w:tcMar>
            <w:vAlign w:val="center"/>
          </w:tcPr>
          <w:p>
            <w:pPr>
              <w:spacing w:after="0" w:before="0"/>
            </w:pPr>
            <w:r>
              <w:rPr>
                <w:rFonts w:ascii="Aptos" w:hAnsi="Aptos"/>
                <w:sz w:val="16"/>
              </w:rPr>
              <w:t>Aprobado el 04/09</w:t>
            </w:r>
          </w:p>
        </w:tc>
        <w:tc>
          <w:tcPr>
            <w:tcW w:type="dxa" w:w="2040"/>
            <w:tcMar>
              <w:top w:w="80" w:type="dxa"/>
              <w:start w:w="90" w:type="dxa"/>
              <w:bottom w:w="80" w:type="dxa"/>
              <w:end w:w="90" w:type="dxa"/>
            </w:tcMar>
            <w:vAlign w:val="center"/>
          </w:tcPr>
          <w:p>
            <w:pPr>
              <w:spacing w:after="0" w:before="0"/>
            </w:pPr>
            <w:r>
              <w:rPr>
                <w:rFonts w:ascii="Aptos" w:hAnsi="Aptos"/>
                <w:sz w:val="16"/>
              </w:rPr>
              <w:t>Incluido dentro de la contingencia disponible.</w:t>
            </w:r>
          </w:p>
        </w:tc>
      </w:tr>
      <w:tr>
        <w:trPr>
          <w:cantSplit/>
        </w:trPr>
        <w:tc>
          <w:tcPr>
            <w:tcW w:type="dxa" w:w="2040"/>
            <w:tcMar>
              <w:top w:w="80" w:type="dxa"/>
              <w:start w:w="90" w:type="dxa"/>
              <w:bottom w:w="80" w:type="dxa"/>
              <w:end w:w="90" w:type="dxa"/>
            </w:tcMar>
            <w:vAlign w:val="center"/>
          </w:tcPr>
          <w:p>
            <w:pPr>
              <w:spacing w:after="0" w:before="0"/>
            </w:pPr>
            <w:r>
              <w:rPr>
                <w:rFonts w:ascii="Aptos" w:hAnsi="Aptos"/>
                <w:b/>
                <w:sz w:val="16"/>
              </w:rPr>
              <w:t>CR-09</w:t>
            </w:r>
          </w:p>
        </w:tc>
        <w:tc>
          <w:tcPr>
            <w:tcW w:type="dxa" w:w="2040"/>
            <w:tcMar>
              <w:top w:w="80" w:type="dxa"/>
              <w:start w:w="90" w:type="dxa"/>
              <w:bottom w:w="80" w:type="dxa"/>
              <w:end w:w="90" w:type="dxa"/>
            </w:tcMar>
            <w:vAlign w:val="center"/>
          </w:tcPr>
          <w:p>
            <w:pPr>
              <w:spacing w:after="0" w:before="0"/>
            </w:pPr>
            <w:r>
              <w:rPr>
                <w:rFonts w:ascii="Aptos" w:hAnsi="Aptos"/>
                <w:sz w:val="16"/>
              </w:rPr>
              <w:t>Automatización adicional para validar determinadas devoluciones antes de enviarlas al sistema legado.</w:t>
            </w:r>
          </w:p>
        </w:tc>
        <w:tc>
          <w:tcPr>
            <w:tcW w:type="dxa" w:w="2040"/>
            <w:tcMar>
              <w:top w:w="80" w:type="dxa"/>
              <w:start w:w="90" w:type="dxa"/>
              <w:bottom w:w="80" w:type="dxa"/>
              <w:end w:w="90" w:type="dxa"/>
            </w:tcMar>
            <w:vAlign w:val="center"/>
          </w:tcPr>
          <w:p>
            <w:pPr>
              <w:spacing w:after="0" w:before="0"/>
            </w:pPr>
            <w:r>
              <w:rPr>
                <w:rFonts w:ascii="Aptos" w:hAnsi="Aptos"/>
                <w:sz w:val="16"/>
              </w:rPr>
              <w:t>8.500 € y 5 días laborables</w:t>
            </w:r>
          </w:p>
        </w:tc>
        <w:tc>
          <w:tcPr>
            <w:tcW w:type="dxa" w:w="2040"/>
            <w:tcMar>
              <w:top w:w="80" w:type="dxa"/>
              <w:start w:w="90" w:type="dxa"/>
              <w:bottom w:w="80" w:type="dxa"/>
              <w:end w:w="90" w:type="dxa"/>
            </w:tcMar>
            <w:vAlign w:val="center"/>
          </w:tcPr>
          <w:p>
            <w:pPr>
              <w:spacing w:after="0" w:before="0"/>
            </w:pPr>
            <w:r>
              <w:rPr>
                <w:rFonts w:ascii="Aptos" w:hAnsi="Aptos"/>
                <w:sz w:val="16"/>
              </w:rPr>
              <w:t>Pendiente de aprobación</w:t>
            </w:r>
          </w:p>
        </w:tc>
        <w:tc>
          <w:tcPr>
            <w:tcW w:type="dxa" w:w="2040"/>
            <w:tcMar>
              <w:top w:w="80" w:type="dxa"/>
              <w:start w:w="90" w:type="dxa"/>
              <w:bottom w:w="80" w:type="dxa"/>
              <w:end w:w="90" w:type="dxa"/>
            </w:tcMar>
            <w:vAlign w:val="center"/>
          </w:tcPr>
          <w:p>
            <w:pPr>
              <w:spacing w:after="0" w:before="0"/>
            </w:pPr>
            <w:r>
              <w:rPr>
                <w:rFonts w:ascii="Aptos" w:hAnsi="Aptos"/>
                <w:sz w:val="16"/>
              </w:rPr>
              <w:t>El proveedor indica que reduciría la intervención manual. El informe no cuantifica el ahorro de tiempo.</w:t>
            </w:r>
          </w:p>
        </w:tc>
      </w:tr>
    </w:tbl>
    <w:p>
      <w:pPr>
        <w:pStyle w:val="Heading2"/>
      </w:pPr>
      <w:r>
        <w:t>3.2 Presupuesto</w:t>
      </w:r>
    </w:p>
    <w:tbl>
      <w:tblPr>
        <w:tblStyle w:val="TableGrid"/>
        <w:tblW w:type="auto" w:w="0"/>
        <w:jc w:val="left"/>
        <w:tblLook w:firstColumn="1" w:firstRow="1" w:lastColumn="0" w:lastRow="0" w:noHBand="0" w:noVBand="1" w:val="04A0"/>
      </w:tblPr>
      <w:tblGrid>
        <w:gridCol w:w="5100"/>
        <w:gridCol w:w="5100"/>
      </w:tblGrid>
      <w:tr>
        <w:trPr>
          <w:cantSplit/>
        </w:trPr>
        <w:tc>
          <w:tcPr>
            <w:tcW w:type="dxa" w:w="5100"/>
            <w:shd w:fill="D9EAF7"/>
            <w:tcMar>
              <w:top w:w="80" w:type="dxa"/>
              <w:start w:w="90" w:type="dxa"/>
              <w:bottom w:w="80" w:type="dxa"/>
              <w:end w:w="90" w:type="dxa"/>
            </w:tcMar>
          </w:tcPr>
          <w:p>
            <w:r>
              <w:rPr>
                <w:b/>
                <w:color w:val="17365D"/>
              </w:rPr>
              <w:t>Presupuesto aprobado</w:t>
            </w:r>
          </w:p>
        </w:tc>
        <w:tc>
          <w:tcPr>
            <w:tcW w:type="dxa" w:w="5100"/>
            <w:tcMar>
              <w:top w:w="80" w:type="dxa"/>
              <w:start w:w="90" w:type="dxa"/>
              <w:bottom w:w="80" w:type="dxa"/>
              <w:end w:w="90" w:type="dxa"/>
            </w:tcMar>
          </w:tcPr>
          <w:p>
            <w:r>
              <w:t>184.000 €</w:t>
            </w:r>
          </w:p>
        </w:tc>
      </w:tr>
      <w:tr>
        <w:trPr>
          <w:cantSplit/>
        </w:trPr>
        <w:tc>
          <w:tcPr>
            <w:tcW w:type="dxa" w:w="5100"/>
            <w:shd w:fill="D9EAF7"/>
            <w:tcMar>
              <w:top w:w="80" w:type="dxa"/>
              <w:start w:w="90" w:type="dxa"/>
              <w:bottom w:w="80" w:type="dxa"/>
              <w:end w:w="90" w:type="dxa"/>
            </w:tcMar>
          </w:tcPr>
          <w:p>
            <w:r>
              <w:rPr>
                <w:b/>
                <w:color w:val="17365D"/>
              </w:rPr>
              <w:t>Gasto comprometido</w:t>
            </w:r>
          </w:p>
        </w:tc>
        <w:tc>
          <w:tcPr>
            <w:tcW w:type="dxa" w:w="5100"/>
            <w:tcMar>
              <w:top w:w="80" w:type="dxa"/>
              <w:start w:w="90" w:type="dxa"/>
              <w:bottom w:w="80" w:type="dxa"/>
              <w:end w:w="90" w:type="dxa"/>
            </w:tcMar>
          </w:tcPr>
          <w:p>
            <w:r>
              <w:t>151.800 €</w:t>
            </w:r>
          </w:p>
        </w:tc>
      </w:tr>
      <w:tr>
        <w:trPr>
          <w:cantSplit/>
        </w:trPr>
        <w:tc>
          <w:tcPr>
            <w:tcW w:type="dxa" w:w="5100"/>
            <w:shd w:fill="D9EAF7"/>
            <w:tcMar>
              <w:top w:w="80" w:type="dxa"/>
              <w:start w:w="90" w:type="dxa"/>
              <w:bottom w:w="80" w:type="dxa"/>
              <w:end w:w="90" w:type="dxa"/>
            </w:tcMar>
          </w:tcPr>
          <w:p>
            <w:r>
              <w:rPr>
                <w:b/>
                <w:color w:val="17365D"/>
              </w:rPr>
              <w:t>Gasto contabilizado</w:t>
            </w:r>
          </w:p>
        </w:tc>
        <w:tc>
          <w:tcPr>
            <w:tcW w:type="dxa" w:w="5100"/>
            <w:tcMar>
              <w:top w:w="80" w:type="dxa"/>
              <w:start w:w="90" w:type="dxa"/>
              <w:bottom w:w="80" w:type="dxa"/>
              <w:end w:w="90" w:type="dxa"/>
            </w:tcMar>
          </w:tcPr>
          <w:p>
            <w:r>
              <w:t>123.600 €</w:t>
            </w:r>
          </w:p>
        </w:tc>
      </w:tr>
      <w:tr>
        <w:trPr>
          <w:cantSplit/>
        </w:trPr>
        <w:tc>
          <w:tcPr>
            <w:tcW w:type="dxa" w:w="5100"/>
            <w:shd w:fill="D9EAF7"/>
            <w:tcMar>
              <w:top w:w="80" w:type="dxa"/>
              <w:start w:w="90" w:type="dxa"/>
              <w:bottom w:w="80" w:type="dxa"/>
              <w:end w:w="90" w:type="dxa"/>
            </w:tcMar>
          </w:tcPr>
          <w:p>
            <w:r>
              <w:rPr>
                <w:b/>
                <w:color w:val="17365D"/>
              </w:rPr>
              <w:t>Previsión actualizada de coste final</w:t>
            </w:r>
          </w:p>
        </w:tc>
        <w:tc>
          <w:tcPr>
            <w:tcW w:type="dxa" w:w="5100"/>
            <w:tcMar>
              <w:top w:w="80" w:type="dxa"/>
              <w:start w:w="90" w:type="dxa"/>
              <w:bottom w:w="80" w:type="dxa"/>
              <w:end w:w="90" w:type="dxa"/>
            </w:tcMar>
          </w:tcPr>
          <w:p>
            <w:r>
              <w:t>No disponible a fecha del informe</w:t>
            </w:r>
          </w:p>
        </w:tc>
      </w:tr>
    </w:tbl>
    <w:p>
      <w:pPr>
        <w:spacing w:before="100"/>
      </w:pPr>
      <w:r>
        <w:rPr>
          <w:b/>
        </w:rPr>
        <w:t xml:space="preserve">Nota: </w:t>
      </w:r>
      <w:r>
        <w:t>CR-09 no está incluida en el gasto comprometido. El informe no confirma si su aprobación requeriría ampliar el presupuesto total o utilizar remanente de otras partidas.</w:t>
      </w:r>
    </w:p>
    <w:p>
      <w:pPr>
        <w:pStyle w:val="Heading1"/>
        <w:pageBreakBefore/>
      </w:pPr>
      <w:r>
        <w:t>4. Acciones, responsables y decisiones pendientes</w:t>
      </w:r>
    </w:p>
    <w:tbl>
      <w:tblPr>
        <w:tblStyle w:val="TableGrid"/>
        <w:tblW w:type="auto" w:w="0"/>
        <w:jc w:val="center"/>
        <w:tblLayout w:type="fixed"/>
        <w:tblLook w:firstColumn="1" w:firstRow="1" w:lastColumn="0" w:lastRow="0" w:noHBand="0" w:noVBand="1" w:val="04A0"/>
      </w:tblPr>
      <w:tblGrid>
        <w:gridCol w:w="2040"/>
        <w:gridCol w:w="2040"/>
        <w:gridCol w:w="2040"/>
        <w:gridCol w:w="2040"/>
        <w:gridCol w:w="2040"/>
      </w:tblGrid>
      <w:tr>
        <w:trPr>
          <w:tblHeader w:val="true"/>
          <w:cantSplit/>
        </w:trPr>
        <w:tc>
          <w:tcPr>
            <w:tcW w:type="dxa" w:w="2040"/>
            <w:tcMar>
              <w:top w:w="80" w:type="dxa"/>
              <w:start w:w="90" w:type="dxa"/>
              <w:bottom w:w="80" w:type="dxa"/>
              <w:end w:w="90" w:type="dxa"/>
            </w:tcMar>
            <w:vAlign w:val="center"/>
            <w:shd w:fill="17365D"/>
          </w:tcPr>
          <w:p>
            <w:pPr>
              <w:spacing w:after="0" w:before="0"/>
            </w:pPr>
            <w:r>
              <w:rPr>
                <w:rFonts w:ascii="Aptos" w:hAnsi="Aptos"/>
                <w:b/>
                <w:color w:val="FFFFFF"/>
                <w:sz w:val="16"/>
              </w:rPr>
              <w:t>Acción</w:t>
            </w:r>
          </w:p>
        </w:tc>
        <w:tc>
          <w:tcPr>
            <w:tcW w:type="dxa" w:w="2040"/>
            <w:tcMar>
              <w:top w:w="80" w:type="dxa"/>
              <w:start w:w="90" w:type="dxa"/>
              <w:bottom w:w="80" w:type="dxa"/>
              <w:end w:w="90" w:type="dxa"/>
            </w:tcMar>
            <w:vAlign w:val="center"/>
            <w:shd w:fill="17365D"/>
          </w:tcPr>
          <w:p>
            <w:pPr>
              <w:spacing w:after="0" w:before="0"/>
            </w:pPr>
            <w:r>
              <w:rPr>
                <w:rFonts w:ascii="Aptos" w:hAnsi="Aptos"/>
                <w:b/>
                <w:color w:val="FFFFFF"/>
                <w:sz w:val="16"/>
              </w:rPr>
              <w:t>Responsable</w:t>
            </w:r>
          </w:p>
        </w:tc>
        <w:tc>
          <w:tcPr>
            <w:tcW w:type="dxa" w:w="2040"/>
            <w:tcMar>
              <w:top w:w="80" w:type="dxa"/>
              <w:start w:w="90" w:type="dxa"/>
              <w:bottom w:w="80" w:type="dxa"/>
              <w:end w:w="90" w:type="dxa"/>
            </w:tcMar>
            <w:vAlign w:val="center"/>
            <w:shd w:fill="17365D"/>
          </w:tcPr>
          <w:p>
            <w:pPr>
              <w:spacing w:after="0" w:before="0"/>
            </w:pPr>
            <w:r>
              <w:rPr>
                <w:rFonts w:ascii="Aptos" w:hAnsi="Aptos"/>
                <w:b/>
                <w:color w:val="FFFFFF"/>
                <w:sz w:val="16"/>
              </w:rPr>
              <w:t>Fecha objetivo</w:t>
            </w:r>
          </w:p>
        </w:tc>
        <w:tc>
          <w:tcPr>
            <w:tcW w:type="dxa" w:w="2040"/>
            <w:tcMar>
              <w:top w:w="80" w:type="dxa"/>
              <w:start w:w="90" w:type="dxa"/>
              <w:bottom w:w="80" w:type="dxa"/>
              <w:end w:w="90" w:type="dxa"/>
            </w:tcMar>
            <w:vAlign w:val="center"/>
            <w:shd w:fill="17365D"/>
          </w:tcPr>
          <w:p>
            <w:pPr>
              <w:spacing w:after="0" w:before="0"/>
            </w:pPr>
            <w:r>
              <w:rPr>
                <w:rFonts w:ascii="Aptos" w:hAnsi="Aptos"/>
                <w:b/>
                <w:color w:val="FFFFFF"/>
                <w:sz w:val="16"/>
              </w:rPr>
              <w:t>Estado</w:t>
            </w:r>
          </w:p>
        </w:tc>
        <w:tc>
          <w:tcPr>
            <w:tcW w:type="dxa" w:w="2040"/>
            <w:tcMar>
              <w:top w:w="80" w:type="dxa"/>
              <w:start w:w="90" w:type="dxa"/>
              <w:bottom w:w="80" w:type="dxa"/>
              <w:end w:w="90" w:type="dxa"/>
            </w:tcMar>
            <w:vAlign w:val="center"/>
            <w:shd w:fill="17365D"/>
          </w:tcPr>
          <w:p>
            <w:pPr>
              <w:spacing w:after="0" w:before="0"/>
            </w:pPr>
            <w:r>
              <w:rPr>
                <w:rFonts w:ascii="Aptos" w:hAnsi="Aptos"/>
                <w:b/>
                <w:color w:val="FFFFFF"/>
                <w:sz w:val="16"/>
              </w:rPr>
              <w:t>Observación</w:t>
            </w:r>
          </w:p>
        </w:tc>
      </w:tr>
      <w:tr>
        <w:trPr>
          <w:cantSplit/>
        </w:trPr>
        <w:tc>
          <w:tcPr>
            <w:tcW w:type="dxa" w:w="2040"/>
            <w:tcMar>
              <w:top w:w="80" w:type="dxa"/>
              <w:start w:w="90" w:type="dxa"/>
              <w:bottom w:w="80" w:type="dxa"/>
              <w:end w:w="90" w:type="dxa"/>
            </w:tcMar>
            <w:vAlign w:val="center"/>
          </w:tcPr>
          <w:p>
            <w:pPr>
              <w:spacing w:after="0" w:before="0"/>
            </w:pPr>
            <w:r>
              <w:rPr>
                <w:rFonts w:ascii="Aptos" w:hAnsi="Aptos"/>
                <w:b/>
                <w:sz w:val="16"/>
              </w:rPr>
              <w:t>Entregar previsión actualizada de finalización de la migración</w:t>
            </w:r>
          </w:p>
        </w:tc>
        <w:tc>
          <w:tcPr>
            <w:tcW w:type="dxa" w:w="2040"/>
            <w:tcMar>
              <w:top w:w="80" w:type="dxa"/>
              <w:start w:w="90" w:type="dxa"/>
              <w:bottom w:w="80" w:type="dxa"/>
              <w:end w:w="90" w:type="dxa"/>
            </w:tcMar>
            <w:vAlign w:val="center"/>
          </w:tcPr>
          <w:p>
            <w:pPr>
              <w:spacing w:after="0" w:before="0"/>
            </w:pPr>
            <w:r>
              <w:rPr>
                <w:rFonts w:ascii="Aptos" w:hAnsi="Aptos"/>
                <w:sz w:val="16"/>
              </w:rPr>
              <w:t>Responsable de Datos</w:t>
            </w:r>
          </w:p>
        </w:tc>
        <w:tc>
          <w:tcPr>
            <w:tcW w:type="dxa" w:w="2040"/>
            <w:tcMar>
              <w:top w:w="80" w:type="dxa"/>
              <w:start w:w="90" w:type="dxa"/>
              <w:bottom w:w="80" w:type="dxa"/>
              <w:end w:w="90" w:type="dxa"/>
            </w:tcMar>
            <w:vAlign w:val="center"/>
          </w:tcPr>
          <w:p>
            <w:pPr>
              <w:spacing w:after="0" w:before="0"/>
            </w:pPr>
            <w:r>
              <w:rPr>
                <w:rFonts w:ascii="Aptos" w:hAnsi="Aptos"/>
                <w:sz w:val="16"/>
              </w:rPr>
              <w:t>22/09</w:t>
            </w:r>
          </w:p>
        </w:tc>
        <w:tc>
          <w:tcPr>
            <w:tcW w:type="dxa" w:w="2040"/>
            <w:tcMar>
              <w:top w:w="80" w:type="dxa"/>
              <w:start w:w="90" w:type="dxa"/>
              <w:bottom w:w="80" w:type="dxa"/>
              <w:end w:w="90" w:type="dxa"/>
            </w:tcMar>
            <w:vAlign w:val="center"/>
          </w:tcPr>
          <w:p>
            <w:pPr>
              <w:spacing w:after="0" w:before="0"/>
            </w:pPr>
            <w:r>
              <w:rPr>
                <w:rFonts w:ascii="Aptos" w:hAnsi="Aptos"/>
                <w:sz w:val="16"/>
              </w:rPr>
              <w:t>Pendiente</w:t>
            </w:r>
          </w:p>
        </w:tc>
        <w:tc>
          <w:tcPr>
            <w:tcW w:type="dxa" w:w="2040"/>
            <w:tcMar>
              <w:top w:w="80" w:type="dxa"/>
              <w:start w:w="90" w:type="dxa"/>
              <w:bottom w:w="80" w:type="dxa"/>
              <w:end w:w="90" w:type="dxa"/>
            </w:tcMar>
            <w:vAlign w:val="center"/>
          </w:tcPr>
          <w:p>
            <w:pPr>
              <w:spacing w:after="0" w:before="0"/>
            </w:pPr>
            <w:r>
              <w:rPr>
                <w:rFonts w:ascii="Aptos" w:hAnsi="Aptos"/>
                <w:sz w:val="16"/>
              </w:rPr>
              <w:t>Debe incluir impacto de la revisión manual de 320 registros.</w:t>
            </w:r>
          </w:p>
        </w:tc>
      </w:tr>
      <w:tr>
        <w:trPr>
          <w:cantSplit/>
        </w:trPr>
        <w:tc>
          <w:tcPr>
            <w:tcW w:type="dxa" w:w="2040"/>
            <w:tcMar>
              <w:top w:w="80" w:type="dxa"/>
              <w:start w:w="90" w:type="dxa"/>
              <w:bottom w:w="80" w:type="dxa"/>
              <w:end w:w="90" w:type="dxa"/>
            </w:tcMar>
            <w:vAlign w:val="center"/>
          </w:tcPr>
          <w:p>
            <w:pPr>
              <w:spacing w:after="0" w:before="0"/>
            </w:pPr>
            <w:r>
              <w:rPr>
                <w:rFonts w:ascii="Aptos" w:hAnsi="Aptos"/>
                <w:b/>
                <w:sz w:val="16"/>
              </w:rPr>
              <w:t>Desplegar actualización correctiva de la integración de devoluciones</w:t>
            </w:r>
          </w:p>
        </w:tc>
        <w:tc>
          <w:tcPr>
            <w:tcW w:type="dxa" w:w="2040"/>
            <w:tcMar>
              <w:top w:w="80" w:type="dxa"/>
              <w:start w:w="90" w:type="dxa"/>
              <w:bottom w:w="80" w:type="dxa"/>
              <w:end w:w="90" w:type="dxa"/>
            </w:tcMar>
            <w:vAlign w:val="center"/>
          </w:tcPr>
          <w:p>
            <w:pPr>
              <w:spacing w:after="0" w:before="0"/>
            </w:pPr>
            <w:r>
              <w:rPr>
                <w:rFonts w:ascii="Aptos" w:hAnsi="Aptos"/>
                <w:sz w:val="16"/>
              </w:rPr>
              <w:t>Proveedor externo</w:t>
            </w:r>
          </w:p>
        </w:tc>
        <w:tc>
          <w:tcPr>
            <w:tcW w:type="dxa" w:w="2040"/>
            <w:tcMar>
              <w:top w:w="80" w:type="dxa"/>
              <w:start w:w="90" w:type="dxa"/>
              <w:bottom w:w="80" w:type="dxa"/>
              <w:end w:w="90" w:type="dxa"/>
            </w:tcMar>
            <w:vAlign w:val="center"/>
          </w:tcPr>
          <w:p>
            <w:pPr>
              <w:spacing w:after="0" w:before="0"/>
            </w:pPr>
            <w:r>
              <w:rPr>
                <w:rFonts w:ascii="Aptos" w:hAnsi="Aptos"/>
                <w:sz w:val="16"/>
              </w:rPr>
              <w:t>23/09</w:t>
            </w:r>
          </w:p>
        </w:tc>
        <w:tc>
          <w:tcPr>
            <w:tcW w:type="dxa" w:w="2040"/>
            <w:tcMar>
              <w:top w:w="80" w:type="dxa"/>
              <w:start w:w="90" w:type="dxa"/>
              <w:bottom w:w="80" w:type="dxa"/>
              <w:end w:w="90" w:type="dxa"/>
            </w:tcMar>
            <w:vAlign w:val="center"/>
          </w:tcPr>
          <w:p>
            <w:pPr>
              <w:spacing w:after="0" w:before="0"/>
            </w:pPr>
            <w:r>
              <w:rPr>
                <w:rFonts w:ascii="Aptos" w:hAnsi="Aptos"/>
                <w:sz w:val="16"/>
              </w:rPr>
              <w:t>Planificada</w:t>
            </w:r>
          </w:p>
        </w:tc>
        <w:tc>
          <w:tcPr>
            <w:tcW w:type="dxa" w:w="2040"/>
            <w:tcMar>
              <w:top w:w="80" w:type="dxa"/>
              <w:start w:w="90" w:type="dxa"/>
              <w:bottom w:w="80" w:type="dxa"/>
              <w:end w:w="90" w:type="dxa"/>
            </w:tcMar>
            <w:vAlign w:val="center"/>
          </w:tcPr>
          <w:p>
            <w:pPr>
              <w:spacing w:after="0" w:before="0"/>
            </w:pPr>
            <w:r>
              <w:rPr>
                <w:rFonts w:ascii="Aptos" w:hAnsi="Aptos"/>
                <w:sz w:val="16"/>
              </w:rPr>
              <w:t>Sujeta a validación técnica posterior.</w:t>
            </w:r>
          </w:p>
        </w:tc>
      </w:tr>
      <w:tr>
        <w:trPr>
          <w:cantSplit/>
        </w:trPr>
        <w:tc>
          <w:tcPr>
            <w:tcW w:type="dxa" w:w="2040"/>
            <w:tcMar>
              <w:top w:w="80" w:type="dxa"/>
              <w:start w:w="90" w:type="dxa"/>
              <w:bottom w:w="80" w:type="dxa"/>
              <w:end w:w="90" w:type="dxa"/>
            </w:tcMar>
            <w:vAlign w:val="center"/>
          </w:tcPr>
          <w:p>
            <w:pPr>
              <w:spacing w:after="0" w:before="0"/>
            </w:pPr>
            <w:r>
              <w:rPr>
                <w:rFonts w:ascii="Aptos" w:hAnsi="Aptos"/>
                <w:b/>
                <w:sz w:val="16"/>
              </w:rPr>
              <w:t>Reejecutar escenarios críticos de pruebas</w:t>
            </w:r>
          </w:p>
        </w:tc>
        <w:tc>
          <w:tcPr>
            <w:tcW w:type="dxa" w:w="2040"/>
            <w:tcMar>
              <w:top w:w="80" w:type="dxa"/>
              <w:start w:w="90" w:type="dxa"/>
              <w:bottom w:w="80" w:type="dxa"/>
              <w:end w:w="90" w:type="dxa"/>
            </w:tcMar>
            <w:vAlign w:val="center"/>
          </w:tcPr>
          <w:p>
            <w:pPr>
              <w:spacing w:after="0" w:before="0"/>
            </w:pPr>
            <w:r>
              <w:rPr>
                <w:rFonts w:ascii="Aptos" w:hAnsi="Aptos"/>
                <w:sz w:val="16"/>
              </w:rPr>
              <w:t>Responsable técnico + usuarios clave</w:t>
            </w:r>
          </w:p>
        </w:tc>
        <w:tc>
          <w:tcPr>
            <w:tcW w:type="dxa" w:w="2040"/>
            <w:tcMar>
              <w:top w:w="80" w:type="dxa"/>
              <w:start w:w="90" w:type="dxa"/>
              <w:bottom w:w="80" w:type="dxa"/>
              <w:end w:w="90" w:type="dxa"/>
            </w:tcMar>
            <w:vAlign w:val="center"/>
          </w:tcPr>
          <w:p>
            <w:pPr>
              <w:spacing w:after="0" w:before="0"/>
            </w:pPr>
            <w:r>
              <w:rPr>
                <w:rFonts w:ascii="Aptos" w:hAnsi="Aptos"/>
                <w:sz w:val="16"/>
              </w:rPr>
              <w:t>25/09</w:t>
            </w:r>
          </w:p>
        </w:tc>
        <w:tc>
          <w:tcPr>
            <w:tcW w:type="dxa" w:w="2040"/>
            <w:tcMar>
              <w:top w:w="80" w:type="dxa"/>
              <w:start w:w="90" w:type="dxa"/>
              <w:bottom w:w="80" w:type="dxa"/>
              <w:end w:w="90" w:type="dxa"/>
            </w:tcMar>
            <w:vAlign w:val="center"/>
          </w:tcPr>
          <w:p>
            <w:pPr>
              <w:spacing w:after="0" w:before="0"/>
            </w:pPr>
            <w:r>
              <w:rPr>
                <w:rFonts w:ascii="Aptos" w:hAnsi="Aptos"/>
                <w:sz w:val="16"/>
              </w:rPr>
              <w:t>Planificada</w:t>
            </w:r>
          </w:p>
        </w:tc>
        <w:tc>
          <w:tcPr>
            <w:tcW w:type="dxa" w:w="2040"/>
            <w:tcMar>
              <w:top w:w="80" w:type="dxa"/>
              <w:start w:w="90" w:type="dxa"/>
              <w:bottom w:w="80" w:type="dxa"/>
              <w:end w:w="90" w:type="dxa"/>
            </w:tcMar>
            <w:vAlign w:val="center"/>
          </w:tcPr>
          <w:p>
            <w:pPr>
              <w:spacing w:after="0" w:before="0"/>
            </w:pPr>
            <w:r>
              <w:rPr>
                <w:rFonts w:ascii="Aptos" w:hAnsi="Aptos"/>
                <w:sz w:val="16"/>
              </w:rPr>
              <w:t>Resultado necesario antes de revisar alcance de salida.</w:t>
            </w:r>
          </w:p>
        </w:tc>
      </w:tr>
      <w:tr>
        <w:trPr>
          <w:cantSplit/>
        </w:trPr>
        <w:tc>
          <w:tcPr>
            <w:tcW w:type="dxa" w:w="2040"/>
            <w:tcMar>
              <w:top w:w="80" w:type="dxa"/>
              <w:start w:w="90" w:type="dxa"/>
              <w:bottom w:w="80" w:type="dxa"/>
              <w:end w:w="90" w:type="dxa"/>
            </w:tcMar>
            <w:vAlign w:val="center"/>
          </w:tcPr>
          <w:p>
            <w:pPr>
              <w:spacing w:after="0" w:before="0"/>
            </w:pPr>
            <w:r>
              <w:rPr>
                <w:rFonts w:ascii="Aptos" w:hAnsi="Aptos"/>
                <w:b/>
                <w:sz w:val="16"/>
              </w:rPr>
              <w:t>Completar formación de 18 personas pendientes</w:t>
            </w:r>
          </w:p>
        </w:tc>
        <w:tc>
          <w:tcPr>
            <w:tcW w:type="dxa" w:w="2040"/>
            <w:tcMar>
              <w:top w:w="80" w:type="dxa"/>
              <w:start w:w="90" w:type="dxa"/>
              <w:bottom w:w="80" w:type="dxa"/>
              <w:end w:w="90" w:type="dxa"/>
            </w:tcMar>
            <w:vAlign w:val="center"/>
          </w:tcPr>
          <w:p>
            <w:pPr>
              <w:spacing w:after="0" w:before="0"/>
            </w:pPr>
            <w:r>
              <w:rPr>
                <w:rFonts w:ascii="Aptos" w:hAnsi="Aptos"/>
                <w:sz w:val="16"/>
              </w:rPr>
              <w:t>RR. HH. + Proyecto</w:t>
            </w:r>
          </w:p>
        </w:tc>
        <w:tc>
          <w:tcPr>
            <w:tcW w:type="dxa" w:w="2040"/>
            <w:tcMar>
              <w:top w:w="80" w:type="dxa"/>
              <w:start w:w="90" w:type="dxa"/>
              <w:bottom w:w="80" w:type="dxa"/>
              <w:end w:w="90" w:type="dxa"/>
            </w:tcMar>
            <w:vAlign w:val="center"/>
          </w:tcPr>
          <w:p>
            <w:pPr>
              <w:spacing w:after="0" w:before="0"/>
            </w:pPr>
            <w:r>
              <w:rPr>
                <w:rFonts w:ascii="Aptos" w:hAnsi="Aptos"/>
                <w:sz w:val="16"/>
              </w:rPr>
              <w:t>08/10</w:t>
            </w:r>
          </w:p>
        </w:tc>
        <w:tc>
          <w:tcPr>
            <w:tcW w:type="dxa" w:w="2040"/>
            <w:tcMar>
              <w:top w:w="80" w:type="dxa"/>
              <w:start w:w="90" w:type="dxa"/>
              <w:bottom w:w="80" w:type="dxa"/>
              <w:end w:w="90" w:type="dxa"/>
            </w:tcMar>
            <w:vAlign w:val="center"/>
          </w:tcPr>
          <w:p>
            <w:pPr>
              <w:spacing w:after="0" w:before="0"/>
            </w:pPr>
            <w:r>
              <w:rPr>
                <w:rFonts w:ascii="Aptos" w:hAnsi="Aptos"/>
                <w:sz w:val="16"/>
              </w:rPr>
              <w:t>Planificada</w:t>
            </w:r>
          </w:p>
        </w:tc>
        <w:tc>
          <w:tcPr>
            <w:tcW w:type="dxa" w:w="2040"/>
            <w:tcMar>
              <w:top w:w="80" w:type="dxa"/>
              <w:start w:w="90" w:type="dxa"/>
              <w:bottom w:w="80" w:type="dxa"/>
              <w:end w:w="90" w:type="dxa"/>
            </w:tcMar>
            <w:vAlign w:val="center"/>
          </w:tcPr>
          <w:p>
            <w:pPr>
              <w:spacing w:after="0" w:before="0"/>
            </w:pPr>
            <w:r>
              <w:rPr>
                <w:rFonts w:ascii="Aptos" w:hAnsi="Aptos"/>
                <w:sz w:val="16"/>
              </w:rPr>
              <w:t>Segunda sesión ya calendarizada.</w:t>
            </w:r>
          </w:p>
        </w:tc>
      </w:tr>
      <w:tr>
        <w:trPr>
          <w:cantSplit/>
        </w:trPr>
        <w:tc>
          <w:tcPr>
            <w:tcW w:type="dxa" w:w="2040"/>
            <w:tcMar>
              <w:top w:w="80" w:type="dxa"/>
              <w:start w:w="90" w:type="dxa"/>
              <w:bottom w:w="80" w:type="dxa"/>
              <w:end w:w="90" w:type="dxa"/>
            </w:tcMar>
            <w:vAlign w:val="center"/>
          </w:tcPr>
          <w:p>
            <w:pPr>
              <w:spacing w:after="0" w:before="0"/>
            </w:pPr>
            <w:r>
              <w:rPr>
                <w:rFonts w:ascii="Aptos" w:hAnsi="Aptos"/>
                <w:b/>
                <w:sz w:val="16"/>
              </w:rPr>
              <w:t>Aprobar protocolo de escalado de soporte</w:t>
            </w:r>
          </w:p>
        </w:tc>
        <w:tc>
          <w:tcPr>
            <w:tcW w:type="dxa" w:w="2040"/>
            <w:tcMar>
              <w:top w:w="80" w:type="dxa"/>
              <w:start w:w="90" w:type="dxa"/>
              <w:bottom w:w="80" w:type="dxa"/>
              <w:end w:w="90" w:type="dxa"/>
            </w:tcMar>
            <w:vAlign w:val="center"/>
          </w:tcPr>
          <w:p>
            <w:pPr>
              <w:spacing w:after="0" w:before="0"/>
            </w:pPr>
            <w:r>
              <w:rPr>
                <w:rFonts w:ascii="Aptos" w:hAnsi="Aptos"/>
                <w:sz w:val="16"/>
              </w:rPr>
              <w:t>Responsable de Operaciones</w:t>
            </w:r>
          </w:p>
        </w:tc>
        <w:tc>
          <w:tcPr>
            <w:tcW w:type="dxa" w:w="2040"/>
            <w:tcMar>
              <w:top w:w="80" w:type="dxa"/>
              <w:start w:w="90" w:type="dxa"/>
              <w:bottom w:w="80" w:type="dxa"/>
              <w:end w:w="90" w:type="dxa"/>
            </w:tcMar>
            <w:vAlign w:val="center"/>
          </w:tcPr>
          <w:p>
            <w:pPr>
              <w:spacing w:after="0" w:before="0"/>
            </w:pPr>
            <w:r>
              <w:rPr>
                <w:rFonts w:ascii="Aptos" w:hAnsi="Aptos"/>
                <w:sz w:val="16"/>
              </w:rPr>
              <w:t>02/10</w:t>
            </w:r>
          </w:p>
        </w:tc>
        <w:tc>
          <w:tcPr>
            <w:tcW w:type="dxa" w:w="2040"/>
            <w:tcMar>
              <w:top w:w="80" w:type="dxa"/>
              <w:start w:w="90" w:type="dxa"/>
              <w:bottom w:w="80" w:type="dxa"/>
              <w:end w:w="90" w:type="dxa"/>
            </w:tcMar>
            <w:vAlign w:val="center"/>
          </w:tcPr>
          <w:p>
            <w:pPr>
              <w:spacing w:after="0" w:before="0"/>
            </w:pPr>
            <w:r>
              <w:rPr>
                <w:rFonts w:ascii="Aptos" w:hAnsi="Aptos"/>
                <w:sz w:val="16"/>
              </w:rPr>
              <w:t>Pendiente</w:t>
            </w:r>
          </w:p>
        </w:tc>
        <w:tc>
          <w:tcPr>
            <w:tcW w:type="dxa" w:w="2040"/>
            <w:tcMar>
              <w:top w:w="80" w:type="dxa"/>
              <w:start w:w="90" w:type="dxa"/>
              <w:bottom w:w="80" w:type="dxa"/>
              <w:end w:w="90" w:type="dxa"/>
            </w:tcMar>
            <w:vAlign w:val="center"/>
          </w:tcPr>
          <w:p>
            <w:pPr>
              <w:spacing w:after="0" w:before="0"/>
            </w:pPr>
            <w:r>
              <w:rPr>
                <w:rFonts w:ascii="Aptos" w:hAnsi="Aptos"/>
                <w:sz w:val="16"/>
              </w:rPr>
              <w:t>El procedimiento general ya está redactado.</w:t>
            </w:r>
          </w:p>
        </w:tc>
      </w:tr>
    </w:tbl>
    <w:p>
      <w:pPr>
        <w:pStyle w:val="Heading2"/>
      </w:pPr>
      <w:r>
        <w:t>4.1 Decisiones pendientes del comité</w:t>
      </w:r>
    </w:p>
    <w:tbl>
      <w:tblPr>
        <w:tblStyle w:val="TableGrid"/>
        <w:tblW w:type="auto" w:w="0"/>
        <w:jc w:val="center"/>
        <w:tblLayout w:type="fixed"/>
        <w:tblLook w:firstColumn="1" w:firstRow="1" w:lastColumn="0" w:lastRow="0" w:noHBand="0" w:noVBand="1" w:val="04A0"/>
      </w:tblPr>
      <w:tblGrid>
        <w:gridCol w:w="2550"/>
        <w:gridCol w:w="2550"/>
        <w:gridCol w:w="2550"/>
        <w:gridCol w:w="2550"/>
      </w:tblGrid>
      <w:tr>
        <w:trPr>
          <w:tblHeader w:val="true"/>
          <w:cantSplit/>
        </w:trPr>
        <w:tc>
          <w:tcPr>
            <w:tcW w:type="dxa" w:w="2550"/>
            <w:tcMar>
              <w:top w:w="80" w:type="dxa"/>
              <w:start w:w="90" w:type="dxa"/>
              <w:bottom w:w="80" w:type="dxa"/>
              <w:end w:w="90" w:type="dxa"/>
            </w:tcMar>
            <w:vAlign w:val="center"/>
            <w:shd w:fill="17365D"/>
          </w:tcPr>
          <w:p>
            <w:pPr>
              <w:spacing w:after="0" w:before="0"/>
            </w:pPr>
            <w:r>
              <w:rPr>
                <w:rFonts w:ascii="Aptos" w:hAnsi="Aptos"/>
                <w:b/>
                <w:color w:val="FFFFFF"/>
                <w:sz w:val="16"/>
              </w:rPr>
              <w:t>Decisión</w:t>
            </w:r>
          </w:p>
        </w:tc>
        <w:tc>
          <w:tcPr>
            <w:tcW w:type="dxa" w:w="2550"/>
            <w:tcMar>
              <w:top w:w="80" w:type="dxa"/>
              <w:start w:w="90" w:type="dxa"/>
              <w:bottom w:w="80" w:type="dxa"/>
              <w:end w:w="90" w:type="dxa"/>
            </w:tcMar>
            <w:vAlign w:val="center"/>
            <w:shd w:fill="17365D"/>
          </w:tcPr>
          <w:p>
            <w:pPr>
              <w:spacing w:after="0" w:before="0"/>
            </w:pPr>
            <w:r>
              <w:rPr>
                <w:rFonts w:ascii="Aptos" w:hAnsi="Aptos"/>
                <w:b/>
                <w:color w:val="FFFFFF"/>
                <w:sz w:val="16"/>
              </w:rPr>
              <w:t>Información disponible</w:t>
            </w:r>
          </w:p>
        </w:tc>
        <w:tc>
          <w:tcPr>
            <w:tcW w:type="dxa" w:w="2550"/>
            <w:tcMar>
              <w:top w:w="80" w:type="dxa"/>
              <w:start w:w="90" w:type="dxa"/>
              <w:bottom w:w="80" w:type="dxa"/>
              <w:end w:w="90" w:type="dxa"/>
            </w:tcMar>
            <w:vAlign w:val="center"/>
            <w:shd w:fill="17365D"/>
          </w:tcPr>
          <w:p>
            <w:pPr>
              <w:spacing w:after="0" w:before="0"/>
            </w:pPr>
            <w:r>
              <w:rPr>
                <w:rFonts w:ascii="Aptos" w:hAnsi="Aptos"/>
                <w:b/>
                <w:color w:val="FFFFFF"/>
                <w:sz w:val="16"/>
              </w:rPr>
              <w:t>Información aún necesaria</w:t>
            </w:r>
          </w:p>
        </w:tc>
        <w:tc>
          <w:tcPr>
            <w:tcW w:type="dxa" w:w="2550"/>
            <w:tcMar>
              <w:top w:w="80" w:type="dxa"/>
              <w:start w:w="90" w:type="dxa"/>
              <w:bottom w:w="80" w:type="dxa"/>
              <w:end w:w="90" w:type="dxa"/>
            </w:tcMar>
            <w:vAlign w:val="center"/>
            <w:shd w:fill="17365D"/>
          </w:tcPr>
          <w:p>
            <w:pPr>
              <w:spacing w:after="0" w:before="0"/>
            </w:pPr>
            <w:r>
              <w:rPr>
                <w:rFonts w:ascii="Aptos" w:hAnsi="Aptos"/>
                <w:b/>
                <w:color w:val="FFFFFF"/>
                <w:sz w:val="16"/>
              </w:rPr>
              <w:t>Momento previsto</w:t>
            </w:r>
          </w:p>
        </w:tc>
      </w:tr>
      <w:tr>
        <w:trPr>
          <w:cantSplit/>
        </w:trPr>
        <w:tc>
          <w:tcPr>
            <w:tcW w:type="dxa" w:w="2550"/>
            <w:tcMar>
              <w:top w:w="80" w:type="dxa"/>
              <w:start w:w="90" w:type="dxa"/>
              <w:bottom w:w="80" w:type="dxa"/>
              <w:end w:w="90" w:type="dxa"/>
            </w:tcMar>
            <w:vAlign w:val="center"/>
          </w:tcPr>
          <w:p>
            <w:pPr>
              <w:spacing w:after="0" w:before="0"/>
            </w:pPr>
            <w:r>
              <w:rPr>
                <w:rFonts w:ascii="Aptos" w:hAnsi="Aptos"/>
                <w:b/>
                <w:sz w:val="16"/>
              </w:rPr>
              <w:t>Aprobar o rechazar CR-09</w:t>
            </w:r>
          </w:p>
        </w:tc>
        <w:tc>
          <w:tcPr>
            <w:tcW w:type="dxa" w:w="2550"/>
            <w:tcMar>
              <w:top w:w="80" w:type="dxa"/>
              <w:start w:w="90" w:type="dxa"/>
              <w:bottom w:w="80" w:type="dxa"/>
              <w:end w:w="90" w:type="dxa"/>
            </w:tcMar>
            <w:vAlign w:val="center"/>
          </w:tcPr>
          <w:p>
            <w:pPr>
              <w:spacing w:after="0" w:before="0"/>
            </w:pPr>
            <w:r>
              <w:rPr>
                <w:rFonts w:ascii="Aptos" w:hAnsi="Aptos"/>
                <w:sz w:val="16"/>
              </w:rPr>
              <w:t>Estimación del proveedor: 8.500 € y 5 días laborables. Reducción esperada de intervención manual.</w:t>
            </w:r>
          </w:p>
        </w:tc>
        <w:tc>
          <w:tcPr>
            <w:tcW w:type="dxa" w:w="2550"/>
            <w:tcMar>
              <w:top w:w="80" w:type="dxa"/>
              <w:start w:w="90" w:type="dxa"/>
              <w:bottom w:w="80" w:type="dxa"/>
              <w:end w:w="90" w:type="dxa"/>
            </w:tcMar>
            <w:vAlign w:val="center"/>
          </w:tcPr>
          <w:p>
            <w:pPr>
              <w:spacing w:after="0" w:before="0"/>
            </w:pPr>
            <w:r>
              <w:rPr>
                <w:rFonts w:ascii="Aptos" w:hAnsi="Aptos"/>
                <w:sz w:val="16"/>
              </w:rPr>
              <w:t>No se ha cuantificado el ahorro de tiempo ni se dispone de previsión validada de coste final del proyecto.</w:t>
            </w:r>
          </w:p>
        </w:tc>
        <w:tc>
          <w:tcPr>
            <w:tcW w:type="dxa" w:w="2550"/>
            <w:tcMar>
              <w:top w:w="80" w:type="dxa"/>
              <w:start w:w="90" w:type="dxa"/>
              <w:bottom w:w="80" w:type="dxa"/>
              <w:end w:w="90" w:type="dxa"/>
            </w:tcMar>
            <w:vAlign w:val="center"/>
          </w:tcPr>
          <w:p>
            <w:pPr>
              <w:spacing w:after="0" w:before="0"/>
            </w:pPr>
            <w:r>
              <w:rPr>
                <w:rFonts w:ascii="Aptos" w:hAnsi="Aptos"/>
                <w:sz w:val="16"/>
              </w:rPr>
              <w:t>Comité de seguimiento del 24/09.</w:t>
            </w:r>
          </w:p>
        </w:tc>
      </w:tr>
      <w:tr>
        <w:trPr>
          <w:cantSplit/>
        </w:trPr>
        <w:tc>
          <w:tcPr>
            <w:tcW w:type="dxa" w:w="2550"/>
            <w:tcMar>
              <w:top w:w="80" w:type="dxa"/>
              <w:start w:w="90" w:type="dxa"/>
              <w:bottom w:w="80" w:type="dxa"/>
              <w:end w:w="90" w:type="dxa"/>
            </w:tcMar>
            <w:vAlign w:val="center"/>
          </w:tcPr>
          <w:p>
            <w:pPr>
              <w:spacing w:after="0" w:before="0"/>
            </w:pPr>
            <w:r>
              <w:rPr>
                <w:rFonts w:ascii="Aptos" w:hAnsi="Aptos"/>
                <w:b/>
                <w:sz w:val="16"/>
              </w:rPr>
              <w:t>Mantener el alcance completo para el 26/10 o posponer el módulo de devoluciones</w:t>
            </w:r>
          </w:p>
        </w:tc>
        <w:tc>
          <w:tcPr>
            <w:tcW w:type="dxa" w:w="2550"/>
            <w:tcMar>
              <w:top w:w="80" w:type="dxa"/>
              <w:start w:w="90" w:type="dxa"/>
              <w:bottom w:w="80" w:type="dxa"/>
              <w:end w:w="90" w:type="dxa"/>
            </w:tcMar>
            <w:vAlign w:val="center"/>
          </w:tcPr>
          <w:p>
            <w:pPr>
              <w:spacing w:after="0" w:before="0"/>
            </w:pPr>
            <w:r>
              <w:rPr>
                <w:rFonts w:ascii="Aptos" w:hAnsi="Aptos"/>
                <w:sz w:val="16"/>
              </w:rPr>
              <w:t>Parche previsto el 23/09 y validación técnica el 24-25/09.</w:t>
            </w:r>
          </w:p>
        </w:tc>
        <w:tc>
          <w:tcPr>
            <w:tcW w:type="dxa" w:w="2550"/>
            <w:tcMar>
              <w:top w:w="80" w:type="dxa"/>
              <w:start w:w="90" w:type="dxa"/>
              <w:bottom w:w="80" w:type="dxa"/>
              <w:end w:w="90" w:type="dxa"/>
            </w:tcMar>
            <w:vAlign w:val="center"/>
          </w:tcPr>
          <w:p>
            <w:pPr>
              <w:spacing w:after="0" w:before="0"/>
            </w:pPr>
            <w:r>
              <w:rPr>
                <w:rFonts w:ascii="Aptos" w:hAnsi="Aptos"/>
                <w:sz w:val="16"/>
              </w:rPr>
              <w:t>Resultado de las pruebas posteriores al parche y evaluación del impacto operativo de un aplazamiento parcial.</w:t>
            </w:r>
          </w:p>
        </w:tc>
        <w:tc>
          <w:tcPr>
            <w:tcW w:type="dxa" w:w="2550"/>
            <w:tcMar>
              <w:top w:w="80" w:type="dxa"/>
              <w:start w:w="90" w:type="dxa"/>
              <w:bottom w:w="80" w:type="dxa"/>
              <w:end w:w="90" w:type="dxa"/>
            </w:tcMar>
            <w:vAlign w:val="center"/>
          </w:tcPr>
          <w:p>
            <w:pPr>
              <w:spacing w:after="0" w:before="0"/>
            </w:pPr>
            <w:r>
              <w:rPr>
                <w:rFonts w:ascii="Aptos" w:hAnsi="Aptos"/>
                <w:sz w:val="16"/>
              </w:rPr>
              <w:t>Revisión prevista después del 25/09.</w:t>
            </w:r>
          </w:p>
        </w:tc>
      </w:tr>
    </w:tbl>
    <w:p>
      <w:pPr>
        <w:pStyle w:val="Heading2"/>
      </w:pPr>
      <w:r>
        <w:t>4.2 Información no consolidada a fecha del informe</w:t>
      </w:r>
    </w:p>
    <w:p>
      <w:pPr>
        <w:pStyle w:val="ListBullet"/>
        <w:spacing w:after="50"/>
      </w:pPr>
      <w:r>
        <w:t>Previsión validada de coste final del proyecto.</w:t>
      </w:r>
    </w:p>
    <w:p>
      <w:pPr>
        <w:pStyle w:val="ListBullet"/>
        <w:spacing w:after="50"/>
      </w:pPr>
      <w:r>
        <w:t>Estimación del esfuerzo adicional para revisar manualmente los 320 registros con direcciones duplicadas.</w:t>
      </w:r>
    </w:p>
    <w:p>
      <w:pPr>
        <w:pStyle w:val="ListBullet"/>
        <w:spacing w:after="50"/>
      </w:pPr>
      <w:r>
        <w:t>Resultado de las pruebas de la actualización correctiva prevista para el 23 de septiembre.</w:t>
      </w:r>
    </w:p>
    <w:p>
      <w:pPr>
        <w:pStyle w:val="ListBullet"/>
        <w:spacing w:after="50"/>
      </w:pPr>
      <w:r>
        <w:t>Impacto operativo cuantificado de retrasar únicamente el módulo de devoluciones.</w:t>
      </w:r>
    </w:p>
    <w:p>
      <w:pPr>
        <w:pStyle w:val="ListBullet"/>
        <w:spacing w:after="50"/>
      </w:pPr>
      <w:r>
        <w:t>Criterio definitivo de aceptación para autorizar la puesta en producción.</w:t>
      </w:r>
    </w:p>
    <w:p>
      <w:pPr>
        <w:pStyle w:val="Heading2"/>
        <w:spacing w:before="140"/>
      </w:pPr>
      <w:r>
        <w:t>5. Conclusión del seguimiento</w:t>
      </w:r>
    </w:p>
    <w:tbl>
      <w:tblPr>
        <w:tblStyle w:val="TableGrid"/>
        <w:tblW w:type="auto" w:w="0"/>
        <w:jc w:val="center"/>
        <w:tblLook w:firstColumn="1" w:firstRow="1" w:lastColumn="0" w:lastRow="0" w:noHBand="0" w:noVBand="1" w:val="04A0"/>
      </w:tblPr>
      <w:tblGrid>
        <w:gridCol w:w="10200"/>
      </w:tblGrid>
      <w:tr>
        <w:trPr>
          <w:cantSplit/>
        </w:trPr>
        <w:tc>
          <w:tcPr>
            <w:tcW w:type="dxa" w:w="10200"/>
            <w:shd w:fill="FFF2CC"/>
            <w:tcMar>
              <w:top w:w="110" w:type="dxa"/>
              <w:start w:w="140" w:type="dxa"/>
              <w:bottom w:w="110" w:type="dxa"/>
              <w:end w:w="140" w:type="dxa"/>
            </w:tcMar>
          </w:tcPr>
          <w:p>
            <w:pPr>
              <w:spacing w:after="40"/>
            </w:pPr>
            <w:r>
              <w:rPr>
                <w:b/>
                <w:color w:val="BF8F00"/>
                <w:sz w:val="21"/>
              </w:rPr>
              <w:t>Conclusión a 18/09/2026</w:t>
            </w:r>
          </w:p>
          <w:p>
            <w:pPr>
              <w:spacing w:after="0"/>
            </w:pPr>
            <w:r>
              <w:rPr>
                <w:sz w:val="19"/>
              </w:rPr>
              <w:t>El proyecto continúa orientado a la puesta en producción del 26 de octubre y no existe una decisión formal de retraso. El margen se ha reducido: las decisiones de alcance y coste dependerán de la migración, de las incidencias críticas y de la información aún pendiente.</w:t>
            </w:r>
          </w:p>
        </w:tc>
      </w:tr>
    </w:tbl>
    <w:sectPr w:rsidR="00FC693F" w:rsidRPr="0006063C" w:rsidSect="00034616">
      <w:headerReference w:type="default" r:id="rId9"/>
      <w:footerReference w:type="default" r:id="rId10"/>
      <w:pgSz w:w="12240" w:h="15840"/>
      <w:pgMar w:top="907"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5"/>
      </w:rPr>
      <w:t>Uso formativo · Documento ficticio · 18/09/2026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666666"/>
        <w:sz w:val="15"/>
      </w:rPr>
      <w:t>PROYECTO NEXUS  |  INFORME INTERNO DE SEGUIMIENTO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ptos Display" w:hAnsi="Aptos Display"/>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w:hAnsi="Aptos"/>
      <w:b/>
      <w:bCs/>
      <w:color w:val="2F75B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seguimiento - Proyecto NEXUS</dc:title>
  <dc:subject>Documento ficticio para ejercicio de Copilot Chat</dc:subject>
  <dc:creator>Material formativo</dc:creator>
  <cp:keywords>NEXUS, Copilot, seguimiento, proyecto, formación</cp:keywords>
  <dc:description>generated by python-docx</dc:description>
  <cp:lastModifiedBy/>
  <cp:revision>1</cp:revision>
  <dcterms:created xsi:type="dcterms:W3CDTF">2013-12-23T23:15:00Z</dcterms:created>
  <dcterms:modified xsi:type="dcterms:W3CDTF">2013-12-23T23:15:00Z</dcterms:modified>
  <cp:category/>
</cp:coreProperties>
</file>